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Arial" w:hAnsi="Arial" w:cs="Arial"/>
          <w:b/>
        </w:rPr>
      </w:pPr>
      <w:r>
        <w:rPr>
          <w:rFonts w:cs="Arial" w:ascii="Arial" w:hAnsi="Arial"/>
          <w:b/>
        </w:rPr>
        <w:t>VĮ VALSTYBINIŲ MIŠKŲ URĖDIJOS DARBUOTOJŲ DRAUDIMO NUO NELAIMINGŲ ATSITIKIMŲ PASLAUGŲ PIRKIMO TECHNINĖ SPECIFIKACIJA</w:t>
      </w:r>
    </w:p>
    <w:p>
      <w:pPr>
        <w:pStyle w:val="Normal"/>
        <w:rPr>
          <w:rFonts w:ascii="Arial" w:hAnsi="Arial" w:cs="Arial"/>
          <w:b/>
        </w:rPr>
      </w:pPr>
      <w:r>
        <w:rPr>
          <w:rFonts w:cs="Arial" w:ascii="Arial" w:hAnsi="Arial"/>
          <w:b/>
        </w:rPr>
      </w:r>
    </w:p>
    <w:p>
      <w:pPr>
        <w:pStyle w:val="ListParagraph"/>
        <w:numPr>
          <w:ilvl w:val="0"/>
          <w:numId w:val="1"/>
        </w:numPr>
        <w:spacing w:lineRule="auto" w:line="240"/>
        <w:ind w:hanging="654" w:left="1080"/>
        <w:jc w:val="both"/>
        <w:rPr>
          <w:rFonts w:ascii="Arial" w:hAnsi="Arial" w:cs="Arial"/>
          <w:b/>
        </w:rPr>
      </w:pPr>
      <w:r>
        <w:rPr>
          <w:rFonts w:cs="Arial" w:ascii="Arial" w:hAnsi="Arial"/>
          <w:b/>
        </w:rPr>
        <w:t>SĄVOKOS IR SUTRUMPINIMAI:</w:t>
      </w:r>
    </w:p>
    <w:p>
      <w:pPr>
        <w:pStyle w:val="ListParagraph"/>
        <w:numPr>
          <w:ilvl w:val="1"/>
          <w:numId w:val="1"/>
        </w:numPr>
        <w:spacing w:lineRule="auto" w:line="240" w:before="16" w:after="0"/>
        <w:ind w:hanging="567" w:left="1134" w:right="510"/>
        <w:contextualSpacing/>
        <w:jc w:val="both"/>
        <w:rPr>
          <w:rFonts w:ascii="Arial" w:hAnsi="Arial" w:cs="Arial"/>
        </w:rPr>
      </w:pPr>
      <w:r>
        <w:rPr>
          <w:rFonts w:cs="Arial" w:ascii="Arial" w:hAnsi="Arial"/>
        </w:rPr>
        <w:t xml:space="preserve">Užsakovas – </w:t>
      </w:r>
      <w:r>
        <w:rPr>
          <w:rFonts w:cs="Arial" w:ascii="Arial" w:hAnsi="Arial"/>
          <w:bCs/>
        </w:rPr>
        <w:t xml:space="preserve">VĮ Valstybinių miškų urėdija (toliau – </w:t>
      </w:r>
      <w:r>
        <w:rPr>
          <w:rFonts w:cs="Arial" w:ascii="Arial" w:hAnsi="Arial"/>
        </w:rPr>
        <w:t>Draudėjas/ Perkančioji organizacija</w:t>
      </w:r>
      <w:r>
        <w:rPr>
          <w:rFonts w:cs="Arial" w:ascii="Arial" w:hAnsi="Arial"/>
          <w:bCs/>
        </w:rPr>
        <w:t>)</w:t>
      </w:r>
      <w:r>
        <w:rPr>
          <w:rFonts w:cs="Arial" w:ascii="Arial" w:hAnsi="Arial"/>
        </w:rPr>
        <w:t>.</w:t>
      </w:r>
    </w:p>
    <w:p>
      <w:pPr>
        <w:pStyle w:val="ListParagraph"/>
        <w:numPr>
          <w:ilvl w:val="1"/>
          <w:numId w:val="1"/>
        </w:numPr>
        <w:spacing w:lineRule="auto" w:line="240" w:before="16" w:after="0"/>
        <w:ind w:hanging="567" w:left="1134" w:right="49"/>
        <w:contextualSpacing/>
        <w:jc w:val="both"/>
        <w:rPr>
          <w:rFonts w:ascii="Arial" w:hAnsi="Arial" w:cs="Arial"/>
        </w:rPr>
      </w:pPr>
      <w:r>
        <w:rPr>
          <w:rFonts w:cs="Arial" w:ascii="Arial" w:hAnsi="Arial"/>
          <w:bCs/>
        </w:rPr>
        <w:t>Paslaugų teikėjas – ūkio subjektas – fizinis asmuo, privatusis juridinis asmuo, viešasis juridinis asmuo, kitos organizacijos ir jų padaliniai ar tokių asmenų</w:t>
      </w:r>
      <w:r>
        <w:rPr>
          <w:rFonts w:cs="Arial" w:ascii="Arial" w:hAnsi="Arial"/>
        </w:rPr>
        <w:t xml:space="preserve"> grupė, su kuriuo Užsakovas sudaro sutartį (toliau – Draudikas/ Teikėjas).</w:t>
      </w:r>
    </w:p>
    <w:p>
      <w:pPr>
        <w:pStyle w:val="ListParagraph"/>
        <w:numPr>
          <w:ilvl w:val="1"/>
          <w:numId w:val="1"/>
        </w:numPr>
        <w:spacing w:lineRule="auto" w:line="240" w:before="16" w:after="0"/>
        <w:ind w:hanging="567" w:left="1134" w:right="49"/>
        <w:contextualSpacing/>
        <w:jc w:val="both"/>
        <w:rPr>
          <w:rFonts w:ascii="Arial" w:hAnsi="Arial" w:cs="Arial"/>
        </w:rPr>
      </w:pPr>
      <w:r>
        <w:rPr>
          <w:rFonts w:cs="Arial" w:ascii="Arial" w:hAnsi="Arial"/>
        </w:rPr>
        <w:t xml:space="preserve">Apdraustieji – visi asmenys susiję darbo santykiais su Draudėju. </w:t>
      </w:r>
    </w:p>
    <w:p>
      <w:pPr>
        <w:pStyle w:val="ListParagraph"/>
        <w:numPr>
          <w:ilvl w:val="1"/>
          <w:numId w:val="1"/>
        </w:numPr>
        <w:spacing w:lineRule="auto" w:line="240" w:before="16" w:after="0"/>
        <w:ind w:hanging="567" w:left="1134" w:right="49"/>
        <w:contextualSpacing/>
        <w:jc w:val="both"/>
        <w:rPr>
          <w:rFonts w:ascii="Arial" w:hAnsi="Arial" w:cs="Arial"/>
        </w:rPr>
      </w:pPr>
      <w:r>
        <w:rPr>
          <w:rFonts w:cs="Arial" w:ascii="Arial" w:hAnsi="Arial"/>
        </w:rPr>
        <w:t>Naudos gavėjai – Apdraustieji arba teisėti jų paveldėtojai.</w:t>
      </w:r>
      <w:bookmarkStart w:id="0" w:name="_Hlk73537121"/>
      <w:bookmarkEnd w:id="0"/>
    </w:p>
    <w:p>
      <w:pPr>
        <w:pStyle w:val="Normal"/>
        <w:spacing w:lineRule="auto" w:line="240" w:before="0" w:after="0"/>
        <w:jc w:val="both"/>
        <w:rPr>
          <w:rFonts w:ascii="Arial" w:hAnsi="Arial" w:cs="Arial"/>
        </w:rPr>
      </w:pPr>
      <w:r>
        <w:rPr>
          <w:rFonts w:cs="Arial" w:ascii="Arial" w:hAnsi="Arial"/>
        </w:rPr>
      </w:r>
    </w:p>
    <w:p>
      <w:pPr>
        <w:pStyle w:val="ListParagraph"/>
        <w:numPr>
          <w:ilvl w:val="0"/>
          <w:numId w:val="1"/>
        </w:numPr>
        <w:spacing w:lineRule="auto" w:line="240" w:before="0" w:after="0"/>
        <w:ind w:hanging="654" w:left="1080"/>
        <w:contextualSpacing/>
        <w:rPr>
          <w:rFonts w:ascii="Arial" w:hAnsi="Arial" w:cs="Arial"/>
          <w:b/>
        </w:rPr>
      </w:pPr>
      <w:r>
        <w:rPr>
          <w:rFonts w:cs="Arial" w:ascii="Arial" w:hAnsi="Arial"/>
          <w:b/>
        </w:rPr>
        <w:t>PIRKIMO OBJEKTAS, KIEKIAI IR DRAUDIMO LAIKOTARPIS:</w:t>
      </w:r>
    </w:p>
    <w:p>
      <w:pPr>
        <w:pStyle w:val="ListParagraph"/>
        <w:numPr>
          <w:ilvl w:val="1"/>
          <w:numId w:val="1"/>
        </w:numPr>
        <w:spacing w:lineRule="auto" w:line="240" w:before="16" w:after="0"/>
        <w:ind w:hanging="567" w:left="1134" w:right="49"/>
        <w:contextualSpacing/>
        <w:jc w:val="both"/>
        <w:rPr>
          <w:rFonts w:ascii="Arial" w:hAnsi="Arial" w:cs="Arial"/>
          <w:bCs/>
        </w:rPr>
      </w:pPr>
      <w:r>
        <w:rPr>
          <w:rFonts w:cs="Arial" w:ascii="Arial" w:hAnsi="Arial"/>
        </w:rPr>
        <w:t xml:space="preserve">Pirkimo objektas – Valstybinių miškų urėdijos darbuotojų draudimas nuo nelaimingų atsitikimų </w:t>
      </w:r>
      <w:bookmarkStart w:id="1" w:name="_Hlk39831693"/>
      <w:r>
        <w:rPr>
          <w:rFonts w:cs="Arial" w:ascii="Arial" w:hAnsi="Arial"/>
        </w:rPr>
        <w:t>(toliau – Paslaugos/ Draudimas)</w:t>
      </w:r>
      <w:bookmarkEnd w:id="1"/>
      <w:r>
        <w:rPr>
          <w:rFonts w:cs="Arial" w:ascii="Arial" w:hAnsi="Arial"/>
        </w:rPr>
        <w:t xml:space="preserve">, </w:t>
      </w:r>
      <w:r>
        <w:rPr>
          <w:rFonts w:cs="Arial" w:ascii="Arial" w:hAnsi="Arial"/>
          <w:bCs/>
        </w:rPr>
        <w:t xml:space="preserve">bendrojo viešųjų pirkimų žodyno kodas </w:t>
      </w:r>
      <w:r>
        <w:rPr>
          <w:rFonts w:cs="Arial" w:ascii="Arial" w:hAnsi="Arial"/>
        </w:rPr>
        <w:t xml:space="preserve">66512100-3 – Draudimo nuo nelaimingų atsitikimų paslaugos. </w:t>
      </w:r>
    </w:p>
    <w:p>
      <w:pPr>
        <w:pStyle w:val="ListParagraph"/>
        <w:numPr>
          <w:ilvl w:val="1"/>
          <w:numId w:val="1"/>
        </w:numPr>
        <w:spacing w:lineRule="auto" w:line="240" w:before="16" w:after="0"/>
        <w:ind w:hanging="567" w:left="1134" w:right="49"/>
        <w:contextualSpacing/>
        <w:jc w:val="both"/>
        <w:rPr>
          <w:rFonts w:ascii="Arial" w:hAnsi="Arial" w:cs="Arial"/>
          <w:bCs/>
        </w:rPr>
      </w:pPr>
      <w:r>
        <w:rPr>
          <w:rFonts w:cs="Arial" w:ascii="Arial" w:hAnsi="Arial"/>
          <w:bCs/>
        </w:rPr>
        <w:t>Pirkimo objektas į atskiras pirkimo objekto dalis neskaidomas:</w:t>
      </w:r>
    </w:p>
    <w:p>
      <w:pPr>
        <w:pStyle w:val="ListParagraph"/>
        <w:spacing w:lineRule="auto" w:line="240" w:before="16" w:after="0"/>
        <w:ind w:left="1134" w:right="49"/>
        <w:contextualSpacing/>
        <w:jc w:val="both"/>
        <w:rPr>
          <w:rFonts w:ascii="Arial" w:hAnsi="Arial" w:cs="Arial"/>
          <w:bCs/>
        </w:rPr>
      </w:pPr>
      <w:r>
        <w:rPr>
          <w:rFonts w:cs="Arial" w:ascii="Arial" w:hAnsi="Arial"/>
          <w:bCs/>
        </w:rPr>
      </w:r>
    </w:p>
    <w:tbl>
      <w:tblPr>
        <w:tblStyle w:val="Lentelstinklelis"/>
        <w:tblW w:w="9995" w:type="dxa"/>
        <w:jc w:val="left"/>
        <w:tblInd w:w="493" w:type="dxa"/>
        <w:tblLayout w:type="fixed"/>
        <w:tblCellMar>
          <w:top w:w="0" w:type="dxa"/>
          <w:left w:w="108" w:type="dxa"/>
          <w:bottom w:w="0" w:type="dxa"/>
          <w:right w:w="108" w:type="dxa"/>
        </w:tblCellMar>
        <w:tblLook w:firstRow="1" w:noVBand="1" w:lastRow="0" w:firstColumn="1" w:lastColumn="0" w:noHBand="0" w:val="04a0"/>
      </w:tblPr>
      <w:tblGrid>
        <w:gridCol w:w="713"/>
        <w:gridCol w:w="4746"/>
        <w:gridCol w:w="4536"/>
      </w:tblGrid>
      <w:tr>
        <w:trPr/>
        <w:tc>
          <w:tcPr>
            <w:tcW w:w="713"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widowControl/>
              <w:suppressAutoHyphens w:val="true"/>
              <w:spacing w:lineRule="auto" w:line="240" w:before="0" w:after="0"/>
              <w:jc w:val="left"/>
              <w:rPr>
                <w:rFonts w:ascii="Arial" w:hAnsi="Arial" w:eastAsia="Trebuchet MS" w:cs="Arial"/>
                <w:b/>
                <w:bCs/>
              </w:rPr>
            </w:pPr>
            <w:r>
              <w:rPr>
                <w:rFonts w:eastAsia="Trebuchet MS" w:cs="Arial" w:ascii="Arial" w:hAnsi="Arial"/>
                <w:b/>
                <w:bCs/>
                <w:kern w:val="0"/>
                <w:szCs w:val="22"/>
                <w:lang w:eastAsia="en-US" w:bidi="ar-SA"/>
              </w:rPr>
              <w:t>Eil. Nr.</w:t>
            </w:r>
          </w:p>
        </w:tc>
        <w:tc>
          <w:tcPr>
            <w:tcW w:w="4746"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widowControl/>
              <w:suppressAutoHyphens w:val="true"/>
              <w:spacing w:lineRule="auto" w:line="240" w:before="0" w:after="0"/>
              <w:jc w:val="left"/>
              <w:rPr>
                <w:rFonts w:ascii="Arial" w:hAnsi="Arial" w:eastAsia="Trebuchet MS" w:cs="Arial"/>
                <w:b/>
                <w:bCs/>
              </w:rPr>
            </w:pPr>
            <w:r>
              <w:rPr>
                <w:rFonts w:eastAsia="Trebuchet MS" w:cs="Arial" w:ascii="Arial" w:hAnsi="Arial"/>
                <w:b/>
                <w:bCs/>
                <w:kern w:val="0"/>
                <w:szCs w:val="22"/>
                <w:lang w:eastAsia="en-US" w:bidi="ar-SA"/>
              </w:rPr>
              <w:t>Pirkimo objekto pavadinimas</w:t>
            </w:r>
          </w:p>
        </w:tc>
        <w:tc>
          <w:tcPr>
            <w:tcW w:w="4536"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widowControl/>
              <w:suppressAutoHyphens w:val="true"/>
              <w:spacing w:lineRule="auto" w:line="240" w:before="0" w:after="0"/>
              <w:jc w:val="left"/>
              <w:rPr>
                <w:rFonts w:ascii="Arial" w:hAnsi="Arial" w:eastAsia="Trebuchet MS" w:cs="Arial"/>
                <w:b/>
                <w:bCs/>
              </w:rPr>
            </w:pPr>
            <w:r>
              <w:rPr>
                <w:rFonts w:eastAsia="Trebuchet MS" w:cs="Arial" w:ascii="Arial" w:hAnsi="Arial"/>
                <w:b/>
                <w:bCs/>
                <w:kern w:val="0"/>
                <w:szCs w:val="22"/>
                <w:lang w:eastAsia="en-US" w:bidi="ar-SA"/>
              </w:rPr>
              <w:t>Darbuotojų skaičius</w:t>
            </w:r>
            <w:r>
              <w:rPr>
                <w:rFonts w:eastAsia="Calibri" w:cs="Arial" w:ascii="Arial" w:hAnsi="Arial"/>
                <w:b/>
                <w:bCs/>
                <w:kern w:val="0"/>
                <w:szCs w:val="22"/>
                <w:lang w:eastAsia="en-US" w:bidi="ar-SA"/>
              </w:rPr>
              <w:t xml:space="preserve"> </w:t>
            </w:r>
            <w:r>
              <w:rPr>
                <w:rFonts w:eastAsia="Trebuchet MS" w:cs="Arial" w:ascii="Arial" w:hAnsi="Arial"/>
                <w:b/>
                <w:bCs/>
                <w:kern w:val="0"/>
                <w:szCs w:val="22"/>
                <w:lang w:eastAsia="en-US" w:bidi="ar-SA"/>
              </w:rPr>
              <w:t>sutartie</w:t>
            </w:r>
            <w:r>
              <w:rPr>
                <w:rFonts w:eastAsia="Calibri" w:cs="Arial" w:ascii="Arial" w:hAnsi="Arial"/>
                <w:b/>
                <w:bCs/>
                <w:kern w:val="0"/>
                <w:szCs w:val="22"/>
                <w:lang w:eastAsia="en-US" w:bidi="ar-SA"/>
              </w:rPr>
              <w:t>s galiojimo laikotarpiu</w:t>
            </w:r>
          </w:p>
        </w:tc>
      </w:tr>
      <w:tr>
        <w:trPr>
          <w:trHeight w:val="623" w:hRule="atLeast"/>
        </w:trPr>
        <w:tc>
          <w:tcPr>
            <w:tcW w:w="713"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eastAsia="Trebuchet MS" w:cs="Arial"/>
              </w:rPr>
            </w:pPr>
            <w:r>
              <w:rPr>
                <w:rFonts w:eastAsia="Trebuchet MS" w:cs="Arial" w:ascii="Arial" w:hAnsi="Arial"/>
                <w:kern w:val="0"/>
                <w:szCs w:val="22"/>
                <w:lang w:eastAsia="en-US" w:bidi="ar-SA"/>
              </w:rPr>
              <w:t>1.</w:t>
            </w:r>
          </w:p>
        </w:tc>
        <w:tc>
          <w:tcPr>
            <w:tcW w:w="4746"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both"/>
              <w:rPr>
                <w:rFonts w:ascii="Arial" w:hAnsi="Arial" w:cs="Arial"/>
              </w:rPr>
            </w:pPr>
            <w:r>
              <w:rPr>
                <w:rFonts w:eastAsia="Calibri" w:cs="Arial" w:ascii="Arial" w:hAnsi="Arial"/>
                <w:kern w:val="0"/>
                <w:szCs w:val="22"/>
                <w:lang w:eastAsia="en-US" w:bidi="ar-SA"/>
              </w:rPr>
              <w:t>Valstybinių miškų urėdijos darbuotojų Draudimas nuo nelaimingų atsitikimų, tame tarpe:</w:t>
            </w:r>
          </w:p>
        </w:tc>
        <w:tc>
          <w:tcPr>
            <w:tcW w:w="4536"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cs="Arial"/>
              </w:rPr>
            </w:pPr>
            <w:r>
              <w:rPr>
                <w:rFonts w:eastAsia="Calibri" w:cs="Arial" w:ascii="Arial" w:hAnsi="Arial"/>
                <w:kern w:val="0"/>
                <w:szCs w:val="22"/>
                <w:lang w:eastAsia="en-US" w:bidi="ar-SA"/>
              </w:rPr>
              <w:t>2 637</w:t>
            </w:r>
          </w:p>
        </w:tc>
      </w:tr>
      <w:tr>
        <w:trPr>
          <w:trHeight w:val="246" w:hRule="atLeast"/>
        </w:trPr>
        <w:tc>
          <w:tcPr>
            <w:tcW w:w="713"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eastAsia="Trebuchet MS" w:cs="Arial"/>
              </w:rPr>
            </w:pPr>
            <w:r>
              <w:rPr>
                <w:rFonts w:eastAsia="Trebuchet MS" w:cs="Arial" w:ascii="Arial" w:hAnsi="Arial"/>
                <w:kern w:val="0"/>
                <w:szCs w:val="22"/>
                <w:lang w:eastAsia="en-US" w:bidi="ar-SA"/>
              </w:rPr>
              <w:t>1.1.</w:t>
            </w:r>
          </w:p>
        </w:tc>
        <w:tc>
          <w:tcPr>
            <w:tcW w:w="4746"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both"/>
              <w:rPr>
                <w:rFonts w:ascii="Arial" w:hAnsi="Arial" w:cs="Arial"/>
              </w:rPr>
            </w:pPr>
            <w:r>
              <w:rPr>
                <w:rFonts w:eastAsia="Calibri" w:cs="Arial" w:ascii="Arial" w:hAnsi="Arial"/>
                <w:kern w:val="0"/>
                <w:szCs w:val="22"/>
                <w:lang w:eastAsia="en-US" w:bidi="ar-SA"/>
              </w:rPr>
              <w:t>Valstybinių miškų apsaugos pareigūnai</w:t>
            </w:r>
          </w:p>
        </w:tc>
        <w:tc>
          <w:tcPr>
            <w:tcW w:w="4536"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cs="Arial"/>
              </w:rPr>
            </w:pPr>
            <w:r>
              <w:rPr>
                <w:rFonts w:eastAsia="Calibri" w:cs="Arial" w:ascii="Arial" w:hAnsi="Arial"/>
                <w:kern w:val="0"/>
                <w:szCs w:val="22"/>
                <w:lang w:eastAsia="en-US" w:bidi="ar-SA"/>
              </w:rPr>
              <w:t>242</w:t>
            </w:r>
          </w:p>
        </w:tc>
      </w:tr>
      <w:tr>
        <w:trPr>
          <w:trHeight w:val="122" w:hRule="atLeast"/>
        </w:trPr>
        <w:tc>
          <w:tcPr>
            <w:tcW w:w="713"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eastAsia="Trebuchet MS" w:cs="Arial"/>
              </w:rPr>
            </w:pPr>
            <w:r>
              <w:rPr>
                <w:rFonts w:eastAsia="Trebuchet MS" w:cs="Arial" w:ascii="Arial" w:hAnsi="Arial"/>
                <w:kern w:val="0"/>
                <w:szCs w:val="22"/>
                <w:lang w:eastAsia="en-US" w:bidi="ar-SA"/>
              </w:rPr>
              <w:t>1.2.</w:t>
            </w:r>
          </w:p>
        </w:tc>
        <w:tc>
          <w:tcPr>
            <w:tcW w:w="4746"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both"/>
              <w:rPr>
                <w:rFonts w:ascii="Arial" w:hAnsi="Arial" w:cs="Arial"/>
              </w:rPr>
            </w:pPr>
            <w:r>
              <w:rPr>
                <w:rFonts w:eastAsia="Calibri" w:cs="Arial" w:ascii="Arial" w:hAnsi="Arial"/>
                <w:kern w:val="0"/>
                <w:szCs w:val="22"/>
                <w:lang w:eastAsia="en-US" w:bidi="ar-SA"/>
              </w:rPr>
              <w:t>Kiti darbuotojai</w:t>
            </w:r>
          </w:p>
        </w:tc>
        <w:tc>
          <w:tcPr>
            <w:tcW w:w="4536" w:type="dxa"/>
            <w:tcBorders>
              <w:top w:val="single" w:sz="4" w:space="0" w:color="A6A6A6"/>
              <w:left w:val="single" w:sz="4" w:space="0" w:color="A6A6A6"/>
              <w:bottom w:val="single" w:sz="4" w:space="0" w:color="A6A6A6"/>
              <w:right w:val="single" w:sz="4" w:space="0" w:color="A6A6A6"/>
            </w:tcBorders>
            <w:vAlign w:val="center"/>
          </w:tcPr>
          <w:p>
            <w:pPr>
              <w:pStyle w:val="Normal"/>
              <w:widowControl/>
              <w:suppressAutoHyphens w:val="true"/>
              <w:spacing w:lineRule="auto" w:line="240" w:before="0" w:after="0"/>
              <w:jc w:val="left"/>
              <w:rPr>
                <w:rFonts w:ascii="Arial" w:hAnsi="Arial" w:cs="Arial"/>
              </w:rPr>
            </w:pPr>
            <w:r>
              <w:rPr>
                <w:rFonts w:eastAsia="Calibri" w:cs="Arial" w:ascii="Arial" w:hAnsi="Arial"/>
                <w:kern w:val="0"/>
                <w:szCs w:val="22"/>
                <w:lang w:eastAsia="en-US" w:bidi="ar-SA"/>
              </w:rPr>
              <w:t>2 3</w:t>
            </w:r>
            <w:bookmarkStart w:id="2" w:name="_Hlk73538946"/>
            <w:bookmarkEnd w:id="2"/>
            <w:r>
              <w:rPr>
                <w:rFonts w:eastAsia="Calibri" w:cs="Arial" w:ascii="Arial" w:hAnsi="Arial"/>
                <w:kern w:val="0"/>
                <w:szCs w:val="22"/>
                <w:lang w:eastAsia="en-US" w:bidi="ar-SA"/>
              </w:rPr>
              <w:t>94</w:t>
            </w:r>
          </w:p>
        </w:tc>
      </w:tr>
    </w:tbl>
    <w:p>
      <w:pPr>
        <w:pStyle w:val="Normal"/>
        <w:spacing w:lineRule="auto" w:line="240" w:before="0" w:after="0"/>
        <w:ind w:left="2835"/>
        <w:jc w:val="right"/>
        <w:rPr>
          <w:rFonts w:ascii="Arial" w:hAnsi="Arial" w:eastAsia="Trebuchet MS" w:cs="Arial"/>
          <w:i/>
          <w:i/>
          <w:iCs/>
        </w:rPr>
      </w:pPr>
      <w:r>
        <w:rPr>
          <w:rFonts w:eastAsia="Trebuchet MS" w:cs="Arial" w:ascii="Arial" w:hAnsi="Arial"/>
          <w:i/>
          <w:iCs/>
        </w:rPr>
        <w:t xml:space="preserve">*2.2. punkte nurodytas darbuotojų skaičius 2026-07-30 dienai </w:t>
      </w:r>
    </w:p>
    <w:p>
      <w:pPr>
        <w:pStyle w:val="Normal"/>
        <w:spacing w:before="0" w:after="0"/>
        <w:ind w:firstLine="720" w:left="4320"/>
        <w:jc w:val="both"/>
        <w:rPr>
          <w:rFonts w:ascii="Arial" w:hAnsi="Arial" w:eastAsia="Trebuchet MS" w:cs="Arial"/>
          <w:i/>
          <w:i/>
          <w:iCs/>
        </w:rPr>
      </w:pPr>
      <w:r>
        <w:rPr>
          <w:rFonts w:eastAsia="Trebuchet MS" w:cs="Arial" w:ascii="Arial" w:hAnsi="Arial"/>
          <w:i/>
          <w:iCs/>
        </w:rPr>
      </w:r>
    </w:p>
    <w:p>
      <w:pPr>
        <w:pStyle w:val="ListParagraph"/>
        <w:numPr>
          <w:ilvl w:val="1"/>
          <w:numId w:val="1"/>
        </w:numPr>
        <w:spacing w:lineRule="auto" w:line="240" w:before="0" w:after="0"/>
        <w:ind w:hanging="567" w:left="1134"/>
        <w:contextualSpacing/>
        <w:jc w:val="both"/>
        <w:rPr>
          <w:rFonts w:ascii="Arial" w:hAnsi="Arial" w:cs="Arial"/>
          <w:b/>
        </w:rPr>
      </w:pPr>
      <w:r>
        <w:rPr>
          <w:rFonts w:cs="Arial" w:ascii="Arial" w:hAnsi="Arial"/>
          <w:b/>
        </w:rPr>
        <w:t>Darbuotojai dirbantys:</w:t>
      </w:r>
    </w:p>
    <w:p>
      <w:pPr>
        <w:pStyle w:val="ListParagraph"/>
        <w:numPr>
          <w:ilvl w:val="2"/>
          <w:numId w:val="1"/>
        </w:numPr>
        <w:suppressAutoHyphens w:val="false"/>
        <w:spacing w:lineRule="auto" w:line="240" w:before="0" w:after="0"/>
        <w:contextualSpacing w:val="false"/>
        <w:rPr>
          <w:rFonts w:ascii="Aptos" w:hAnsi="Aptos" w:eastAsia="Times New Roman"/>
          <w:sz w:val="24"/>
          <w:szCs w:val="24"/>
        </w:rPr>
      </w:pPr>
      <w:r>
        <w:rPr>
          <w:rFonts w:eastAsia="Times New Roman" w:ascii="Aptos" w:hAnsi="Aptos"/>
          <w:sz w:val="24"/>
          <w:szCs w:val="24"/>
        </w:rPr>
        <w:t>administracinį darbą (specialistai) – 1 137;</w:t>
      </w:r>
    </w:p>
    <w:p>
      <w:pPr>
        <w:pStyle w:val="ListParagraph"/>
        <w:numPr>
          <w:ilvl w:val="2"/>
          <w:numId w:val="1"/>
        </w:numPr>
        <w:suppressAutoHyphens w:val="false"/>
        <w:spacing w:lineRule="auto" w:line="240" w:before="0" w:after="0"/>
        <w:contextualSpacing w:val="false"/>
        <w:rPr>
          <w:rFonts w:ascii="Arial" w:hAnsi="Arial" w:cs="Arial"/>
          <w:b/>
        </w:rPr>
      </w:pPr>
      <w:r>
        <w:rPr>
          <w:rFonts w:eastAsia="Times New Roman" w:ascii="Aptos" w:hAnsi="Aptos"/>
          <w:sz w:val="24"/>
          <w:szCs w:val="24"/>
        </w:rPr>
        <w:t>neadministracinį darbą (darbininkai) – 1 500.</w:t>
      </w:r>
    </w:p>
    <w:p>
      <w:pPr>
        <w:pStyle w:val="ListParagraph"/>
        <w:numPr>
          <w:ilvl w:val="1"/>
          <w:numId w:val="1"/>
        </w:numPr>
        <w:spacing w:lineRule="auto" w:line="240" w:before="0" w:after="0"/>
        <w:ind w:hanging="567" w:left="1134"/>
        <w:contextualSpacing/>
        <w:jc w:val="both"/>
        <w:rPr>
          <w:rFonts w:ascii="Arial" w:hAnsi="Arial" w:cs="Arial"/>
          <w:b/>
        </w:rPr>
      </w:pPr>
      <w:r>
        <w:rPr>
          <w:rFonts w:cs="Arial" w:ascii="Arial" w:hAnsi="Arial"/>
          <w:b/>
        </w:rPr>
        <w:t xml:space="preserve">Perkamų paslaugų apimtis – preliminarus draudžiamų darbuotojų skaičius yra 2 637. Draudimo laikotarpiu darbuotojų skaičius gali padidėti iki 15 procentų, o sumažėti iki 30 procentų. </w:t>
      </w:r>
    </w:p>
    <w:p>
      <w:pPr>
        <w:pStyle w:val="ListParagraph"/>
        <w:numPr>
          <w:ilvl w:val="1"/>
          <w:numId w:val="1"/>
        </w:numPr>
        <w:ind w:hanging="567" w:left="1134"/>
        <w:jc w:val="both"/>
        <w:rPr>
          <w:rFonts w:ascii="Arial" w:hAnsi="Arial" w:cs="Arial"/>
          <w:bCs/>
        </w:rPr>
      </w:pPr>
      <w:r>
        <w:rPr>
          <w:rFonts w:cs="Arial" w:ascii="Arial" w:hAnsi="Arial"/>
          <w:bCs/>
        </w:rPr>
        <w:t>Darbuotojų pareigybių sąrašas ir etatų skaičius pridedamas (Techninės specifikacijos priedas Nr. 1). Šis sąrašas yra tik informacinio pobūdžio ir Sutarties vykdymo metu gali keistis, tačiau ne daugiau kaip nurodyta 2.4 punkte.</w:t>
      </w:r>
    </w:p>
    <w:p>
      <w:pPr>
        <w:pStyle w:val="ListParagraph"/>
        <w:numPr>
          <w:ilvl w:val="1"/>
          <w:numId w:val="1"/>
        </w:numPr>
        <w:ind w:hanging="567" w:left="1134"/>
        <w:rPr>
          <w:rFonts w:ascii="Arial" w:hAnsi="Arial" w:cs="Arial"/>
          <w:b/>
        </w:rPr>
      </w:pPr>
      <w:r>
        <w:rPr>
          <w:rFonts w:cs="Arial" w:ascii="Arial" w:hAnsi="Arial"/>
          <w:b/>
        </w:rPr>
        <w:t>Draudimo laikotarpis 2027 m. sausio 10 d. 00:00 val. – 2028 m. sausio 9 d. 24:00 val.</w:t>
      </w:r>
    </w:p>
    <w:p>
      <w:pPr>
        <w:pStyle w:val="ListParagraph"/>
        <w:ind w:left="1134"/>
        <w:rPr>
          <w:rFonts w:ascii="Arial" w:hAnsi="Arial" w:cs="Arial"/>
          <w:bCs/>
        </w:rPr>
      </w:pPr>
      <w:r>
        <w:rPr>
          <w:rFonts w:cs="Arial" w:ascii="Arial" w:hAnsi="Arial"/>
          <w:bCs/>
        </w:rPr>
      </w:r>
    </w:p>
    <w:p>
      <w:pPr>
        <w:pStyle w:val="ListParagraph"/>
        <w:numPr>
          <w:ilvl w:val="0"/>
          <w:numId w:val="1"/>
        </w:numPr>
        <w:spacing w:lineRule="auto" w:line="240" w:before="0" w:after="0"/>
        <w:ind w:hanging="708" w:left="1134"/>
        <w:contextualSpacing/>
        <w:jc w:val="both"/>
        <w:rPr>
          <w:rFonts w:ascii="Arial" w:hAnsi="Arial" w:cs="Arial"/>
          <w:b/>
        </w:rPr>
      </w:pPr>
      <w:r>
        <w:rPr>
          <w:rFonts w:cs="Arial" w:ascii="Arial" w:hAnsi="Arial"/>
          <w:b/>
        </w:rPr>
        <w:t>BENDRIEJI REIKALAVIMAI, KURIUOS TURI ATITIKTI PERKAMOS PASLAUGOS:</w:t>
      </w:r>
    </w:p>
    <w:p>
      <w:pPr>
        <w:pStyle w:val="ListParagraph"/>
        <w:shd w:val="clear" w:color="auto" w:fill="FFFFFF"/>
        <w:spacing w:lineRule="auto" w:line="240" w:before="16" w:after="0"/>
        <w:ind w:left="1134"/>
        <w:contextualSpacing/>
        <w:jc w:val="both"/>
        <w:rPr>
          <w:rFonts w:ascii="Arial" w:hAnsi="Arial" w:eastAsia="Times New Roman" w:cs="Arial"/>
          <w:lang w:eastAsia="lt-LT"/>
        </w:rPr>
      </w:pPr>
      <w:r>
        <w:rPr>
          <w:rFonts w:eastAsia="Times New Roman" w:cs="Arial" w:ascii="Arial" w:hAnsi="Arial"/>
          <w:lang w:eastAsia="lt-LT"/>
        </w:rPr>
      </w:r>
      <w:bookmarkStart w:id="3" w:name="_Hlk39831462"/>
      <w:bookmarkStart w:id="4" w:name="_Hlk39831462"/>
      <w:bookmarkEnd w:id="4"/>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 xml:space="preserve">Teikėjas įsipareigoja apdrausti </w:t>
      </w:r>
      <w:r>
        <w:rPr>
          <w:rFonts w:cs="Arial" w:ascii="Arial" w:hAnsi="Arial"/>
        </w:rPr>
        <w:t>Valstybinių miškų urėdijos</w:t>
      </w:r>
      <w:r>
        <w:rPr>
          <w:rFonts w:eastAsia="Times New Roman" w:cs="Arial" w:ascii="Arial" w:hAnsi="Arial"/>
          <w:lang w:eastAsia="lt-LT"/>
        </w:rPr>
        <w:t xml:space="preserve"> darbuotojus nuo nelaimingų atsitikimų: draudžiamas </w:t>
      </w:r>
      <w:r>
        <w:rPr>
          <w:rFonts w:cs="Arial" w:ascii="Arial" w:hAnsi="Arial"/>
          <w:color w:val="000000"/>
        </w:rPr>
        <w:t>turtinis interesas, susijęs su Apdraustojo sveikatos sutrikimu ir (arba) mirtimi dėl nelaimingo atsitikimo. Nelaimingas atsitikimas – staigus, netikėtas įvykis, kurio metu prieš Apdraustojo valią Apdraustojo kūną iš išorės veikianti fizinė jėga (arba kitos aplinkybės nurodytos šioje Techninėje specifikacijoje) pakenkia Apdraustojo sveikatai ar tampa jo mirties ar neįgalumo priežastimi</w:t>
      </w:r>
      <w:r>
        <w:rPr>
          <w:rFonts w:eastAsia="Times New Roman" w:cs="Arial" w:ascii="Arial" w:hAnsi="Arial"/>
          <w:lang w:eastAsia="lt-LT"/>
        </w:rPr>
        <w:t>.</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Draudžiamos rizikos: mirtis; neįgalumas; kaulų lūžiai; išnirimai ir kitos traumos.</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 xml:space="preserve">Draudimo apsauga turi galioti 24 valandas per parą, 7 dienas per savaitę. </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 xml:space="preserve">Draudimo apsauga turi galioti tiek darbo, tiek ne darbo metu.  </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 xml:space="preserve">Draudžiamų įvykių skaičius per draudimo sutarties galiojimo laikotarpį neribojamas. </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Draudimo suma vienam Apdraustajam:</w:t>
      </w:r>
    </w:p>
    <w:p>
      <w:pPr>
        <w:pStyle w:val="ListParagraph"/>
        <w:numPr>
          <w:ilvl w:val="2"/>
          <w:numId w:val="1"/>
        </w:numPr>
        <w:shd w:val="clear" w:color="auto" w:fill="FFFFFF"/>
        <w:spacing w:lineRule="auto" w:line="240" w:before="16" w:after="0"/>
        <w:ind w:hanging="425" w:left="1134"/>
        <w:contextualSpacing/>
        <w:jc w:val="both"/>
        <w:rPr>
          <w:rFonts w:ascii="Arial" w:hAnsi="Arial" w:eastAsia="Times New Roman" w:cs="Arial"/>
          <w:lang w:eastAsia="lt-LT"/>
        </w:rPr>
      </w:pPr>
      <w:r>
        <w:rPr>
          <w:rFonts w:eastAsia="Times New Roman" w:cs="Arial" w:ascii="Arial" w:hAnsi="Arial"/>
          <w:lang w:eastAsia="lt-LT"/>
        </w:rPr>
        <w:t>Mirtis:</w:t>
      </w:r>
    </w:p>
    <w:p>
      <w:pPr>
        <w:pStyle w:val="ListParagraph"/>
        <w:numPr>
          <w:ilvl w:val="3"/>
          <w:numId w:val="1"/>
        </w:numPr>
        <w:shd w:val="clear" w:color="auto" w:fill="FFFFFF"/>
        <w:spacing w:lineRule="auto" w:line="240" w:before="16" w:after="0"/>
        <w:ind w:hanging="425" w:left="1276"/>
        <w:contextualSpacing/>
        <w:jc w:val="both"/>
        <w:rPr>
          <w:rFonts w:ascii="Arial" w:hAnsi="Arial" w:eastAsia="Times New Roman" w:cs="Arial"/>
          <w:lang w:eastAsia="lt-LT"/>
        </w:rPr>
      </w:pPr>
      <w:r>
        <w:rPr>
          <w:rFonts w:eastAsia="Times New Roman" w:cs="Arial" w:ascii="Arial" w:hAnsi="Arial"/>
          <w:lang w:eastAsia="lt-LT"/>
        </w:rPr>
        <w:t>miškų apsaugos pareigūnai – 120 000 EUR (šimtas dvidešimt tūkstančių EUR);</w:t>
      </w:r>
    </w:p>
    <w:p>
      <w:pPr>
        <w:pStyle w:val="ListParagraph"/>
        <w:numPr>
          <w:ilvl w:val="3"/>
          <w:numId w:val="1"/>
        </w:numPr>
        <w:shd w:val="clear" w:color="auto" w:fill="FFFFFF"/>
        <w:spacing w:lineRule="auto" w:line="240" w:before="16" w:after="0"/>
        <w:ind w:hanging="425" w:left="1276"/>
        <w:contextualSpacing/>
        <w:jc w:val="both"/>
        <w:rPr>
          <w:rFonts w:ascii="Arial" w:hAnsi="Arial" w:eastAsia="Times New Roman" w:cs="Arial"/>
          <w:lang w:eastAsia="lt-LT"/>
        </w:rPr>
      </w:pPr>
      <w:r>
        <w:rPr>
          <w:rFonts w:eastAsia="Times New Roman" w:cs="Arial" w:ascii="Arial" w:hAnsi="Arial"/>
          <w:lang w:eastAsia="lt-LT"/>
        </w:rPr>
        <w:t>kiti darbuotojai – 50 000,00 EUR (penkiasdešimt tūkstančių EUR).</w:t>
      </w:r>
    </w:p>
    <w:p>
      <w:pPr>
        <w:pStyle w:val="ListParagraph"/>
        <w:numPr>
          <w:ilvl w:val="2"/>
          <w:numId w:val="1"/>
        </w:numPr>
        <w:shd w:val="clear" w:color="auto" w:fill="FFFFFF"/>
        <w:spacing w:lineRule="auto" w:line="240" w:before="16" w:after="0"/>
        <w:ind w:hanging="425" w:left="1134"/>
        <w:contextualSpacing/>
        <w:jc w:val="both"/>
        <w:rPr>
          <w:rFonts w:ascii="Arial" w:hAnsi="Arial" w:eastAsia="Times New Roman" w:cs="Arial"/>
          <w:lang w:eastAsia="lt-LT"/>
        </w:rPr>
      </w:pPr>
      <w:r>
        <w:rPr>
          <w:rFonts w:eastAsia="Times New Roman" w:cs="Arial" w:ascii="Arial" w:hAnsi="Arial"/>
          <w:lang w:eastAsia="lt-LT"/>
        </w:rPr>
        <w:t>Neįgalumas:</w:t>
      </w:r>
    </w:p>
    <w:p>
      <w:pPr>
        <w:pStyle w:val="ListParagraph"/>
        <w:numPr>
          <w:ilvl w:val="3"/>
          <w:numId w:val="1"/>
        </w:numPr>
        <w:shd w:val="clear" w:color="auto" w:fill="FFFFFF"/>
        <w:spacing w:lineRule="auto" w:line="240" w:before="16" w:after="0"/>
        <w:ind w:hanging="283" w:left="1134"/>
        <w:contextualSpacing/>
        <w:jc w:val="both"/>
        <w:rPr>
          <w:rFonts w:ascii="Arial" w:hAnsi="Arial" w:eastAsia="Times New Roman" w:cs="Arial"/>
          <w:lang w:eastAsia="lt-LT"/>
        </w:rPr>
      </w:pPr>
      <w:r>
        <w:rPr>
          <w:rFonts w:eastAsia="Times New Roman" w:cs="Arial" w:ascii="Arial" w:hAnsi="Arial"/>
          <w:lang w:eastAsia="lt-LT"/>
        </w:rPr>
        <w:t>miškų apsaugos pareigūnai – ne mažiau 50 000,00 EUR (penkiasdešimt tūkstančių EUR);</w:t>
      </w:r>
    </w:p>
    <w:p>
      <w:pPr>
        <w:pStyle w:val="ListParagraph"/>
        <w:numPr>
          <w:ilvl w:val="3"/>
          <w:numId w:val="1"/>
        </w:numPr>
        <w:shd w:val="clear" w:color="auto" w:fill="FFFFFF"/>
        <w:spacing w:lineRule="auto" w:line="240" w:before="16" w:after="0"/>
        <w:ind w:hanging="283" w:left="1134"/>
        <w:contextualSpacing/>
        <w:jc w:val="both"/>
        <w:rPr>
          <w:rFonts w:ascii="Arial" w:hAnsi="Arial" w:eastAsia="Times New Roman" w:cs="Arial"/>
          <w:lang w:eastAsia="lt-LT"/>
        </w:rPr>
      </w:pPr>
      <w:r>
        <w:rPr>
          <w:rFonts w:eastAsia="Times New Roman" w:cs="Arial" w:ascii="Arial" w:hAnsi="Arial"/>
          <w:lang w:eastAsia="lt-LT"/>
        </w:rPr>
        <w:t>kiti darbuotojai – ne mažiau 50 000,00 EUR (penkiasdešimt tūkstančių EUR).</w:t>
      </w:r>
    </w:p>
    <w:p>
      <w:pPr>
        <w:pStyle w:val="ListParagraph"/>
        <w:numPr>
          <w:ilvl w:val="2"/>
          <w:numId w:val="1"/>
        </w:numPr>
        <w:shd w:val="clear" w:color="auto" w:fill="FFFFFF"/>
        <w:spacing w:lineRule="auto" w:line="240" w:before="16" w:after="0"/>
        <w:ind w:hanging="425" w:left="1134"/>
        <w:contextualSpacing/>
        <w:jc w:val="both"/>
        <w:rPr>
          <w:rFonts w:ascii="Arial" w:hAnsi="Arial" w:eastAsia="Times New Roman" w:cs="Arial"/>
          <w:lang w:eastAsia="lt-LT"/>
        </w:rPr>
      </w:pPr>
      <w:r>
        <w:rPr>
          <w:rFonts w:eastAsia="Times New Roman" w:cs="Arial" w:ascii="Arial" w:hAnsi="Arial"/>
          <w:lang w:eastAsia="lt-LT"/>
        </w:rPr>
        <w:t>Kaulų lūžiai, išnirimai ir kitos traumos:</w:t>
      </w:r>
    </w:p>
    <w:p>
      <w:pPr>
        <w:pStyle w:val="ListParagraph"/>
        <w:numPr>
          <w:ilvl w:val="3"/>
          <w:numId w:val="1"/>
        </w:numPr>
        <w:shd w:val="clear" w:color="auto" w:fill="FFFFFF"/>
        <w:spacing w:lineRule="auto" w:line="240" w:before="16" w:after="0"/>
        <w:ind w:hanging="283" w:left="1134"/>
        <w:contextualSpacing/>
        <w:jc w:val="both"/>
        <w:rPr>
          <w:rFonts w:ascii="Arial" w:hAnsi="Arial" w:eastAsia="Times New Roman" w:cs="Arial"/>
          <w:lang w:eastAsia="lt-LT"/>
        </w:rPr>
      </w:pPr>
      <w:r>
        <w:rPr>
          <w:rFonts w:eastAsia="Times New Roman" w:cs="Arial" w:ascii="Arial" w:hAnsi="Arial"/>
          <w:lang w:eastAsia="lt-LT"/>
        </w:rPr>
        <w:t>miško apsaugos pareigūnai – 10 000,00 EUR (dešimt tūkstančių EUR);</w:t>
      </w:r>
    </w:p>
    <w:p>
      <w:pPr>
        <w:pStyle w:val="ListParagraph"/>
        <w:numPr>
          <w:ilvl w:val="3"/>
          <w:numId w:val="1"/>
        </w:numPr>
        <w:shd w:val="clear" w:color="auto" w:fill="FFFFFF"/>
        <w:spacing w:lineRule="auto" w:line="240" w:before="16" w:after="0"/>
        <w:ind w:hanging="283" w:left="1134"/>
        <w:contextualSpacing/>
        <w:jc w:val="both"/>
        <w:rPr>
          <w:rFonts w:ascii="Arial" w:hAnsi="Arial" w:eastAsia="Times New Roman" w:cs="Arial"/>
          <w:lang w:eastAsia="lt-LT"/>
        </w:rPr>
      </w:pPr>
      <w:r>
        <w:rPr>
          <w:rFonts w:eastAsia="Times New Roman" w:cs="Arial" w:ascii="Arial" w:hAnsi="Arial"/>
          <w:lang w:eastAsia="lt-LT"/>
        </w:rPr>
        <w:t>kiti darbuotojai – 10 000,00 EUR (dešimt tūkstančių EUR).</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Besąlyginė išskaita – 0,00 Eur.</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Išskyrus Valstybinių miškų apsaugos pareigūnus, visiems kitiems darbuotojams draudimo įmoka turi būti vienoda, neatsižvelgiant į jo darbo sąlygų specifiką, pareigų pavadinimą, amžių ar kitus parametrus.</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cs="Arial" w:ascii="Arial" w:hAnsi="Arial"/>
          <w:color w:val="000000"/>
        </w:rPr>
        <w:t xml:space="preserve">Draudimo apsauga galioja visiems Draudėjo darbuotojams. Visi priimti į darbą darbuotojai laikomi automatiškai apdrausti nuo jų priėmimo į darbą dienos 00:00 val., o draudimo apsauga baigiasi darbo santykių pasibaigimo dieną 24:00 val.  </w:t>
      </w:r>
      <w:r>
        <w:rPr>
          <w:rFonts w:eastAsia="Times New Roman" w:cs="Arial" w:ascii="Arial" w:hAnsi="Arial"/>
          <w:lang w:eastAsia="lt-LT"/>
        </w:rPr>
        <w:t>Taip pat automatiškai apdraudžiami visi darbuotojai dirbantys naujose pareigybėse, įsteigtose Sutarties galiojimo laikotarpiu.</w:t>
      </w:r>
    </w:p>
    <w:p>
      <w:pPr>
        <w:pStyle w:val="ListParagraph"/>
        <w:numPr>
          <w:ilvl w:val="1"/>
          <w:numId w:val="1"/>
        </w:numPr>
        <w:shd w:val="clear" w:color="auto" w:fill="FFFFFF"/>
        <w:spacing w:lineRule="auto" w:line="240" w:before="16" w:after="0"/>
        <w:ind w:hanging="567" w:left="1134"/>
        <w:contextualSpacing/>
        <w:jc w:val="both"/>
        <w:rPr>
          <w:rFonts w:ascii="Arial" w:hAnsi="Arial" w:cs="Arial"/>
          <w:color w:val="000000"/>
        </w:rPr>
      </w:pPr>
      <w:r>
        <w:rPr>
          <w:rFonts w:eastAsia="Times New Roman" w:cs="Arial" w:ascii="Arial" w:hAnsi="Arial"/>
          <w:lang w:eastAsia="lt-LT"/>
        </w:rPr>
        <w:t>Darbuotojų draudimui nuo nelaimingų atsitikimų, be bendrųjų reikalavimų, kurie turi atitikti perkamas paslaugas, bei Tiekėjo taikomų draudimo sąlygų, Tiekėjas papildomai taip pat turi įtraukti žemiau išvardintas sąlygas:</w:t>
      </w:r>
    </w:p>
    <w:p>
      <w:pPr>
        <w:pStyle w:val="ListParagraph"/>
        <w:shd w:val="clear" w:color="auto" w:fill="FFFFFF"/>
        <w:spacing w:lineRule="auto" w:line="240" w:before="16" w:after="0"/>
        <w:ind w:left="1134"/>
        <w:contextualSpacing/>
        <w:jc w:val="both"/>
        <w:rPr>
          <w:rFonts w:ascii="Arial" w:hAnsi="Arial" w:eastAsia="Times New Roman" w:cs="Arial"/>
          <w:lang w:eastAsia="lt-LT"/>
        </w:rPr>
      </w:pPr>
      <w:r>
        <w:rPr>
          <w:rFonts w:eastAsia="Times New Roman" w:cs="Arial" w:ascii="Arial" w:hAnsi="Arial"/>
          <w:lang w:eastAsia="lt-LT"/>
        </w:rPr>
      </w:r>
    </w:p>
    <w:tbl>
      <w:tblPr>
        <w:tblW w:w="9736" w:type="dxa"/>
        <w:jc w:val="left"/>
        <w:tblInd w:w="862" w:type="dxa"/>
        <w:tblLayout w:type="fixed"/>
        <w:tblCellMar>
          <w:top w:w="0" w:type="dxa"/>
          <w:left w:w="108" w:type="dxa"/>
          <w:bottom w:w="0" w:type="dxa"/>
          <w:right w:w="108" w:type="dxa"/>
        </w:tblCellMar>
        <w:tblLook w:firstRow="1" w:noVBand="1" w:lastRow="0" w:firstColumn="1" w:lastColumn="0" w:noHBand="0" w:val="04a0"/>
      </w:tblPr>
      <w:tblGrid>
        <w:gridCol w:w="2212"/>
        <w:gridCol w:w="7523"/>
      </w:tblGrid>
      <w:tr>
        <w:trPr>
          <w:trHeight w:val="169" w:hRule="atLeast"/>
        </w:trPr>
        <w:tc>
          <w:tcPr>
            <w:tcW w:w="2212"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spacing w:lineRule="auto" w:line="240" w:before="0" w:after="0"/>
              <w:rPr>
                <w:rFonts w:ascii="Arial" w:hAnsi="Arial" w:cs="Arial"/>
                <w:b/>
                <w:bCs/>
              </w:rPr>
            </w:pPr>
            <w:r>
              <w:rPr>
                <w:rFonts w:cs="Arial" w:ascii="Arial" w:hAnsi="Arial"/>
                <w:b/>
                <w:bCs/>
              </w:rPr>
              <w:t>Išplėtimo pavadinimas</w:t>
            </w:r>
          </w:p>
        </w:tc>
        <w:tc>
          <w:tcPr>
            <w:tcW w:w="7523" w:type="dxa"/>
            <w:tcBorders>
              <w:top w:val="single" w:sz="4" w:space="0" w:color="A6A6A6"/>
              <w:left w:val="single" w:sz="4" w:space="0" w:color="A6A6A6"/>
              <w:bottom w:val="single" w:sz="4" w:space="0" w:color="A6A6A6"/>
              <w:right w:val="single" w:sz="4" w:space="0" w:color="A6A6A6"/>
            </w:tcBorders>
            <w:shd w:color="auto" w:fill="C5E0B3" w:themeFill="accent6" w:themeFillTint="66" w:val="clear"/>
            <w:vAlign w:val="center"/>
          </w:tcPr>
          <w:p>
            <w:pPr>
              <w:pStyle w:val="Normal"/>
              <w:spacing w:lineRule="auto" w:line="240" w:before="0" w:after="0"/>
              <w:rPr>
                <w:rFonts w:ascii="Arial" w:hAnsi="Arial" w:cs="Arial"/>
                <w:b/>
                <w:color w:val="000000"/>
              </w:rPr>
            </w:pPr>
            <w:r>
              <w:rPr>
                <w:rFonts w:cs="Arial" w:ascii="Arial" w:hAnsi="Arial"/>
                <w:b/>
                <w:color w:val="000000"/>
              </w:rPr>
              <w:t>Papildoma sąlyga</w:t>
            </w:r>
          </w:p>
        </w:tc>
      </w:tr>
      <w:tr>
        <w:trPr>
          <w:trHeight w:val="789" w:hRule="atLeast"/>
        </w:trPr>
        <w:tc>
          <w:tcPr>
            <w:tcW w:w="2212"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Traumų rizikos apimtis</w:t>
            </w:r>
          </w:p>
        </w:tc>
        <w:tc>
          <w:tcPr>
            <w:tcW w:w="7523"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Traumų rizika taip pat apima kaulų lūžių ir išnirimų, minkštųjų audinių ir vidaus organų sužalojimų, ilgalaikės ir negrįžtamos traumų pasekmės rizikas.</w:t>
            </w:r>
          </w:p>
        </w:tc>
      </w:tr>
      <w:tr>
        <w:trPr>
          <w:trHeight w:val="450" w:hRule="atLeast"/>
        </w:trPr>
        <w:tc>
          <w:tcPr>
            <w:tcW w:w="2212"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Kiti draudžiamųjų įvykių padariniai</w:t>
            </w:r>
          </w:p>
        </w:tc>
        <w:tc>
          <w:tcPr>
            <w:tcW w:w="7523"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Visais atvejais (nepriklausomai nuo gydymo trukmės ir gydymo būdo), draudimo apsauga taip pat galioja dėl susižalojimo elektros srove; ūminio apsinuodijimo cheminėmis medžiagomis, maistu, nuodingais grybais; terminių ir cheminių nudegimų ar nušalimų; gyvatės įkirtimų, žinduolių įkandimų, vabzdžių įgėlimų (įskaitant erkinis encefalitas, Laimo liga); stabligės, pasiutligės, botulizmo.</w:t>
            </w:r>
          </w:p>
          <w:p>
            <w:pPr>
              <w:pStyle w:val="Normal"/>
              <w:spacing w:lineRule="auto" w:line="240" w:before="0" w:after="0"/>
              <w:jc w:val="both"/>
              <w:rPr>
                <w:rFonts w:ascii="Arial" w:hAnsi="Arial" w:cs="Arial"/>
                <w:color w:val="000000"/>
              </w:rPr>
            </w:pPr>
            <w:r>
              <w:rPr>
                <w:rFonts w:cs="Arial" w:ascii="Arial" w:hAnsi="Arial"/>
                <w:color w:val="000000"/>
              </w:rPr>
              <w:t>Draudimo išmoka, pagal šiame punkte numatytus įvykius, yra mokama vadovaujantis Draudiko Taisyklėmis, tačiau minimali draudimo išmoka dėl kiekvieno atvejo yra 100 Eur.</w:t>
            </w:r>
            <w:r>
              <w:rPr>
                <w:rFonts w:cs="Segoe UI" w:ascii="Segoe UI" w:hAnsi="Segoe UI"/>
                <w:sz w:val="18"/>
                <w:szCs w:val="18"/>
              </w:rPr>
              <w:t xml:space="preserve"> </w:t>
            </w:r>
          </w:p>
        </w:tc>
      </w:tr>
      <w:tr>
        <w:trPr>
          <w:trHeight w:val="450" w:hRule="atLeast"/>
        </w:trPr>
        <w:tc>
          <w:tcPr>
            <w:tcW w:w="2212"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Darbuotojų skaičiaus pasikeitimas</w:t>
            </w:r>
          </w:p>
        </w:tc>
        <w:tc>
          <w:tcPr>
            <w:tcW w:w="7523"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Visais atvejais draudimo rizikos padidėjimu nelaikomas darbuotojų skaičiaus pasikeitimas, kai draudimo apsaugos laikotarpiu Draudėjo darbuotojų skaičius padidėja ne daugiau kaip 15 procentų</w:t>
            </w:r>
            <w:r>
              <w:rPr>
                <w:rFonts w:cs="Arial" w:ascii="Arial" w:hAnsi="Arial"/>
              </w:rPr>
              <w:t>, o sumažėja ne daugiau kaip 30 procentų</w:t>
            </w:r>
            <w:r>
              <w:rPr>
                <w:rFonts w:cs="Arial" w:ascii="Arial" w:hAnsi="Arial"/>
                <w:color w:val="000000"/>
              </w:rPr>
              <w:t>.</w:t>
            </w:r>
          </w:p>
        </w:tc>
      </w:tr>
      <w:tr>
        <w:trPr>
          <w:trHeight w:val="450" w:hRule="atLeast"/>
        </w:trPr>
        <w:tc>
          <w:tcPr>
            <w:tcW w:w="2212"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Komandiruotės metu</w:t>
            </w:r>
          </w:p>
        </w:tc>
        <w:tc>
          <w:tcPr>
            <w:tcW w:w="7523"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Draudimo apsauga taip pat galioja darbuotojo komandiruotės metu. Komandiruote laikomas apdraustojo išvykimas tam tikram laikui iš nuolatinės darbo vietos darbdavio siuntimu atlikti darbo funkcijas, vykdyti tarnybinį pavedimą ar kelti kvalifikaciją.</w:t>
            </w:r>
          </w:p>
        </w:tc>
      </w:tr>
      <w:tr>
        <w:trPr>
          <w:trHeight w:val="450" w:hRule="atLeast"/>
        </w:trPr>
        <w:tc>
          <w:tcPr>
            <w:tcW w:w="2212"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Kelių eismo įvykio išimtis</w:t>
            </w:r>
          </w:p>
        </w:tc>
        <w:tc>
          <w:tcPr>
            <w:tcW w:w="7523"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Kelių eismo taisyklių pažeidimai nelaikomi nedraudžiamuoju įvykiu, išskyrus vairavimą apsvaigus (kai yra viršijamos LR teisės aktuose nustatytos normos) arba neturint atitinkamo vairuotojo pažymėjimo suteikiančio teisę valdyti tą transporto priemonę.</w:t>
            </w:r>
          </w:p>
        </w:tc>
      </w:tr>
      <w:tr>
        <w:trPr>
          <w:trHeight w:val="420" w:hRule="atLeast"/>
        </w:trPr>
        <w:tc>
          <w:tcPr>
            <w:tcW w:w="2212"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Neblaivumo sąlyga</w:t>
            </w:r>
          </w:p>
        </w:tc>
        <w:tc>
          <w:tcPr>
            <w:tcW w:w="7523"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Draudimo apsauga galioja ir apdraustasis nelaikomas apsvaigęs nuo alkoholio, kai jo koncentracija neviršija 0,6 promilių, išskyrus transporto priemonių valdymą.</w:t>
            </w:r>
          </w:p>
        </w:tc>
      </w:tr>
      <w:tr>
        <w:trPr>
          <w:trHeight w:val="435" w:hRule="atLeast"/>
        </w:trPr>
        <w:tc>
          <w:tcPr>
            <w:tcW w:w="2212"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Didelio neatsargumo sąlyga</w:t>
            </w:r>
          </w:p>
        </w:tc>
        <w:tc>
          <w:tcPr>
            <w:tcW w:w="7523"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Didelis neatsargumas nėra laikomas nedraudžiamuoju įvykiu.</w:t>
            </w:r>
          </w:p>
        </w:tc>
      </w:tr>
      <w:tr>
        <w:trPr>
          <w:trHeight w:val="525" w:hRule="atLeast"/>
        </w:trPr>
        <w:tc>
          <w:tcPr>
            <w:tcW w:w="2212" w:type="dxa"/>
            <w:tcBorders>
              <w:top w:val="single" w:sz="4" w:space="0" w:color="A6A6A6"/>
              <w:left w:val="single" w:sz="4" w:space="0" w:color="A6A6A6"/>
              <w:bottom w:val="single" w:sz="4" w:space="0" w:color="A6A6A6"/>
              <w:right w:val="single" w:sz="4" w:space="0" w:color="A6A6A6"/>
            </w:tcBorders>
            <w:shd w:color="auto" w:fill="E2EFD9" w:themeFill="accent6" w:themeFillTint="33" w:val="clear"/>
            <w:vAlign w:val="center"/>
          </w:tcPr>
          <w:p>
            <w:pPr>
              <w:pStyle w:val="Normal"/>
              <w:spacing w:lineRule="auto" w:line="240" w:before="0" w:after="0"/>
              <w:rPr>
                <w:rFonts w:ascii="Arial" w:hAnsi="Arial" w:cs="Arial"/>
                <w:b/>
                <w:bCs/>
              </w:rPr>
            </w:pPr>
            <w:r>
              <w:rPr>
                <w:rFonts w:cs="Arial" w:ascii="Arial" w:hAnsi="Arial"/>
                <w:b/>
                <w:bCs/>
              </w:rPr>
              <w:t>Darbuotojų saugos ir sveikatos pažeidimų sąlyga</w:t>
            </w:r>
          </w:p>
        </w:tc>
        <w:tc>
          <w:tcPr>
            <w:tcW w:w="7523" w:type="dxa"/>
            <w:tcBorders>
              <w:top w:val="single" w:sz="4" w:space="0" w:color="A6A6A6"/>
              <w:left w:val="single" w:sz="4" w:space="0" w:color="A6A6A6"/>
              <w:bottom w:val="single" w:sz="4" w:space="0" w:color="A6A6A6"/>
              <w:right w:val="single" w:sz="4" w:space="0" w:color="A6A6A6"/>
            </w:tcBorders>
            <w:vAlign w:val="center"/>
          </w:tcPr>
          <w:p>
            <w:pPr>
              <w:pStyle w:val="Normal"/>
              <w:spacing w:lineRule="auto" w:line="240" w:before="0" w:after="0"/>
              <w:jc w:val="both"/>
              <w:rPr>
                <w:rFonts w:ascii="Arial" w:hAnsi="Arial" w:cs="Arial"/>
                <w:color w:val="000000"/>
              </w:rPr>
            </w:pPr>
            <w:r>
              <w:rPr>
                <w:rFonts w:cs="Arial" w:ascii="Arial" w:hAnsi="Arial"/>
                <w:color w:val="000000"/>
              </w:rPr>
              <w:t>Darbuotojų saugos ir sveikatos reikalavimų nesilaikymas nėra laikomas nedraudžiamuoju įvykiu.</w:t>
            </w:r>
          </w:p>
        </w:tc>
      </w:tr>
    </w:tbl>
    <w:p>
      <w:pPr>
        <w:pStyle w:val="Normal"/>
        <w:shd w:val="clear" w:color="auto" w:fill="FFFFFF"/>
        <w:spacing w:lineRule="auto" w:line="240" w:before="16" w:after="0"/>
        <w:jc w:val="both"/>
        <w:rPr>
          <w:rFonts w:ascii="Arial" w:hAnsi="Arial" w:eastAsia="Times New Roman" w:cs="Arial"/>
          <w:lang w:eastAsia="lt-LT"/>
        </w:rPr>
      </w:pPr>
      <w:r>
        <w:rPr>
          <w:rFonts w:eastAsia="Times New Roman" w:cs="Arial" w:ascii="Arial" w:hAnsi="Arial"/>
          <w:lang w:eastAsia="lt-LT"/>
        </w:rPr>
      </w:r>
    </w:p>
    <w:p>
      <w:pPr>
        <w:pStyle w:val="Normal"/>
        <w:shd w:val="clear" w:color="auto" w:fill="FFFFFF"/>
        <w:spacing w:lineRule="auto" w:line="240" w:before="16" w:after="0"/>
        <w:jc w:val="both"/>
        <w:rPr>
          <w:rFonts w:ascii="Arial" w:hAnsi="Arial" w:eastAsia="Times New Roman" w:cs="Arial"/>
          <w:lang w:eastAsia="lt-LT"/>
        </w:rPr>
      </w:pPr>
      <w:r>
        <w:rPr>
          <w:rFonts w:eastAsia="Times New Roman" w:cs="Arial" w:ascii="Arial" w:hAnsi="Arial"/>
          <w:lang w:eastAsia="lt-LT"/>
        </w:rPr>
      </w:r>
    </w:p>
    <w:p>
      <w:pPr>
        <w:pStyle w:val="ListParagraph"/>
        <w:numPr>
          <w:ilvl w:val="1"/>
          <w:numId w:val="1"/>
        </w:numPr>
        <w:spacing w:lineRule="auto" w:line="240" w:before="0" w:after="0"/>
        <w:ind w:firstLine="567" w:left="0"/>
        <w:contextualSpacing/>
        <w:jc w:val="both"/>
        <w:rPr>
          <w:rFonts w:ascii="Arial" w:hAnsi="Arial" w:cs="Arial"/>
        </w:rPr>
      </w:pPr>
      <w:r>
        <w:rPr>
          <w:rFonts w:cs="Arial" w:ascii="Arial" w:hAnsi="Arial"/>
        </w:rPr>
        <w:t>VMU draudiminiai įvykiai (2026-06-15):</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rPr>
        <w:t>2020 m. – įvykių skaičius 128, išmokų 48 100,13 Eur;</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rPr>
        <w:t xml:space="preserve">2021 m. – įvykių skaičius 69, išmokų </w:t>
      </w:r>
      <w:r>
        <w:rPr>
          <w:rFonts w:cs="Arial" w:ascii="Arial" w:hAnsi="Arial"/>
          <w:color w:val="000000"/>
        </w:rPr>
        <w:t>41 280,00</w:t>
      </w:r>
      <w:r>
        <w:rPr>
          <w:rFonts w:cs="Arial" w:ascii="Arial" w:hAnsi="Arial"/>
        </w:rPr>
        <w:t xml:space="preserve">  Eur;</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rPr>
        <w:t>2022 m.</w:t>
      </w:r>
      <w:r>
        <w:rPr>
          <w:rFonts w:cs="Arial" w:ascii="Arial" w:hAnsi="Arial"/>
          <w:color w:val="000000"/>
        </w:rPr>
        <w:t xml:space="preserve"> </w:t>
      </w:r>
      <w:r>
        <w:rPr>
          <w:rFonts w:cs="Arial" w:ascii="Arial" w:hAnsi="Arial"/>
        </w:rPr>
        <w:t>–</w:t>
      </w:r>
      <w:r>
        <w:rPr>
          <w:rFonts w:cs="Arial" w:ascii="Arial" w:hAnsi="Arial"/>
          <w:color w:val="000000"/>
        </w:rPr>
        <w:t xml:space="preserve"> įvykių skaičius 145, išmokų 66 600,00 Eur;</w:t>
      </w:r>
    </w:p>
    <w:p>
      <w:pPr>
        <w:pStyle w:val="ListParagraph"/>
        <w:numPr>
          <w:ilvl w:val="2"/>
          <w:numId w:val="1"/>
        </w:numPr>
        <w:spacing w:lineRule="auto" w:line="240" w:before="0" w:after="0"/>
        <w:ind w:firstLine="567" w:left="0"/>
        <w:contextualSpacing/>
        <w:jc w:val="both"/>
        <w:rPr>
          <w:rFonts w:ascii="Arial" w:hAnsi="Arial" w:cs="Arial"/>
          <w:color w:val="000000"/>
        </w:rPr>
      </w:pPr>
      <w:r>
        <w:rPr>
          <w:rFonts w:cs="Arial" w:ascii="Arial" w:hAnsi="Arial"/>
          <w:color w:val="000000"/>
        </w:rPr>
        <w:t xml:space="preserve">2023 m. - įvykių skaičius 142, išmokų 112 540,00 Eur; </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color w:val="000000"/>
        </w:rPr>
        <w:t>2024 m. - įvykių skaičius 154, išmokų 43 750,00 Eur;</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color w:val="000000"/>
        </w:rPr>
        <w:t>2025 m. – įvykių skaičius 159, išmokų 106 150,00 Eur</w:t>
      </w:r>
    </w:p>
    <w:p>
      <w:pPr>
        <w:pStyle w:val="ListParagraph"/>
        <w:numPr>
          <w:ilvl w:val="2"/>
          <w:numId w:val="1"/>
        </w:numPr>
        <w:spacing w:lineRule="auto" w:line="240" w:before="0" w:after="0"/>
        <w:ind w:firstLine="567" w:left="0"/>
        <w:contextualSpacing/>
        <w:jc w:val="both"/>
        <w:rPr>
          <w:rFonts w:ascii="Arial" w:hAnsi="Arial" w:cs="Arial"/>
        </w:rPr>
      </w:pPr>
      <w:r>
        <w:rPr>
          <w:rFonts w:cs="Arial" w:ascii="Arial" w:hAnsi="Arial"/>
          <w:color w:val="000000"/>
        </w:rPr>
        <w:t>2026-06-15 – įvykių skaičius 39, išmokų ir rezervų 14 125,00 Eur.</w:t>
      </w:r>
    </w:p>
    <w:p>
      <w:pPr>
        <w:pStyle w:val="ListParagraph"/>
        <w:numPr>
          <w:ilvl w:val="1"/>
          <w:numId w:val="1"/>
        </w:numPr>
        <w:spacing w:lineRule="auto" w:line="240" w:before="0" w:after="0"/>
        <w:ind w:firstLine="567" w:left="0"/>
        <w:contextualSpacing/>
        <w:jc w:val="both"/>
        <w:rPr>
          <w:rFonts w:ascii="Arial" w:hAnsi="Arial" w:cs="Arial"/>
        </w:rPr>
      </w:pPr>
      <w:r>
        <w:rPr>
          <w:rFonts w:cs="Arial" w:ascii="Arial" w:hAnsi="Arial"/>
          <w:color w:val="000000"/>
        </w:rPr>
        <w:t>Vykdomas žaliasis pirkimas vadovaujantis Aplinkos apsaugos kriterijų taikymo, vykdant žaliuosius pirkimus, tvarkos aprašo, patvirtinto Lietuvos Respublikos aplinkos ministro 2011 m. birželio 28 d. įsakymu Nr. D1-508, 4.4.3 papunkčiu t. y., perkamos nematerialaus pobūdžio (intelektinės) paslaugos, kurios yra nesusijusios su materialaus objekto sukūrimu, jų teikimo metu nėra numatomas reikšmingas neigiamas poveikis aplinkai, nesukuriamas taršos šaltinis ir negeneruojamos atliekos.</w:t>
      </w:r>
    </w:p>
    <w:p>
      <w:pPr>
        <w:pStyle w:val="ListParagraph"/>
        <w:spacing w:lineRule="auto" w:line="240" w:before="0" w:after="0"/>
        <w:ind w:firstLine="567" w:left="0"/>
        <w:contextualSpacing/>
        <w:jc w:val="both"/>
        <w:rPr>
          <w:rFonts w:ascii="Arial" w:hAnsi="Arial" w:cs="Arial"/>
          <w:b/>
        </w:rPr>
      </w:pPr>
      <w:r>
        <w:rPr>
          <w:rFonts w:cs="Arial" w:ascii="Arial" w:hAnsi="Arial"/>
          <w:b/>
        </w:rPr>
      </w:r>
    </w:p>
    <w:p>
      <w:pPr>
        <w:pStyle w:val="ListParagraph"/>
        <w:numPr>
          <w:ilvl w:val="0"/>
          <w:numId w:val="1"/>
        </w:numPr>
        <w:spacing w:lineRule="auto" w:line="240" w:before="0" w:after="0"/>
        <w:ind w:hanging="654" w:left="1080"/>
        <w:contextualSpacing/>
        <w:jc w:val="both"/>
        <w:rPr>
          <w:rFonts w:ascii="Arial" w:hAnsi="Arial" w:cs="Arial"/>
          <w:b/>
        </w:rPr>
      </w:pPr>
      <w:r>
        <w:rPr>
          <w:rFonts w:cs="Arial" w:ascii="Arial" w:hAnsi="Arial"/>
          <w:b/>
        </w:rPr>
        <w:t>SUTARTINIŲ ĮSIPAREIGOJIMŲ VYKDYMO TVARKA IR TERMINAI</w:t>
      </w:r>
    </w:p>
    <w:p>
      <w:pPr>
        <w:pStyle w:val="ListParagraph"/>
        <w:numPr>
          <w:ilvl w:val="1"/>
          <w:numId w:val="1"/>
        </w:numPr>
        <w:spacing w:lineRule="auto" w:line="240" w:before="0" w:after="0"/>
        <w:ind w:hanging="567" w:left="1134"/>
        <w:contextualSpacing/>
        <w:jc w:val="both"/>
        <w:rPr>
          <w:rFonts w:ascii="Arial" w:hAnsi="Arial" w:cs="Arial"/>
          <w:bCs/>
        </w:rPr>
      </w:pPr>
      <w:r>
        <w:rPr>
          <w:rFonts w:cs="Arial" w:ascii="Arial" w:hAnsi="Arial"/>
          <w:bCs/>
        </w:rPr>
        <w:t>Darbuotojų draudimo apsaugos įsigaliojimo pradžia ne vėliau kaip 2027-01-10 00:00 val.</w:t>
      </w:r>
    </w:p>
    <w:p>
      <w:pPr>
        <w:pStyle w:val="ListParagraph"/>
        <w:numPr>
          <w:ilvl w:val="1"/>
          <w:numId w:val="1"/>
        </w:numPr>
        <w:spacing w:lineRule="auto" w:line="240" w:before="0" w:after="0"/>
        <w:ind w:hanging="567" w:left="1134"/>
        <w:contextualSpacing/>
        <w:jc w:val="both"/>
        <w:rPr>
          <w:rFonts w:ascii="Arial" w:hAnsi="Arial" w:cs="Arial"/>
          <w:bCs/>
        </w:rPr>
      </w:pPr>
      <w:r>
        <w:rPr>
          <w:rFonts w:cs="Arial" w:ascii="Arial" w:hAnsi="Arial"/>
          <w:bCs/>
        </w:rPr>
        <w:t>Draudimo apsauga galioja visame pasaulyje, išskyrus Rusijos Federacijos, Baltarusijos Respublikos, Ukrainos ir Izraelio teritorijas, taip pat kitas teritorijas, kuriose vyksta kariniai veiksmai arba kurios pripažintos karo ar ginkluoto konflikto zonomis pagal draudiko taikomas draudimo sąlygas.</w:t>
      </w:r>
    </w:p>
    <w:p>
      <w:pPr>
        <w:pStyle w:val="ListParagraph"/>
        <w:numPr>
          <w:ilvl w:val="1"/>
          <w:numId w:val="1"/>
        </w:numPr>
        <w:ind w:hanging="567" w:left="1134"/>
        <w:jc w:val="both"/>
        <w:rPr>
          <w:rFonts w:ascii="Arial" w:hAnsi="Arial" w:eastAsia="Times New Roman" w:cs="Arial"/>
          <w:strike/>
          <w:lang w:eastAsia="lt-LT"/>
        </w:rPr>
      </w:pPr>
      <w:r>
        <w:rPr>
          <w:rFonts w:eastAsia="Times New Roman" w:cs="Arial" w:ascii="Arial" w:hAnsi="Arial"/>
          <w:lang w:eastAsia="lt-LT"/>
        </w:rPr>
        <w:t xml:space="preserve">Numatomas sutarties galiojimo laikotarpis – 14 mėnesių. </w:t>
      </w:r>
    </w:p>
    <w:p>
      <w:pPr>
        <w:pStyle w:val="ListParagraph"/>
        <w:numPr>
          <w:ilvl w:val="1"/>
          <w:numId w:val="1"/>
        </w:numPr>
        <w:ind w:hanging="567" w:left="1134"/>
        <w:jc w:val="both"/>
        <w:rPr>
          <w:rFonts w:ascii="Arial" w:hAnsi="Arial" w:eastAsia="Times New Roman" w:cs="Arial"/>
          <w:lang w:eastAsia="lt-LT"/>
        </w:rPr>
      </w:pPr>
      <w:r>
        <w:rPr>
          <w:rFonts w:eastAsia="Times New Roman" w:cs="Arial" w:ascii="Arial" w:hAnsi="Arial"/>
          <w:lang w:eastAsia="lt-LT"/>
        </w:rPr>
        <w:t>Draudikas įsipareigoja pateikti Draudėjui draudimo polisą ne vėliau kaip per 5 (penkias) darbo dienas nuo Sutarties įsigaliojimo dienos.</w:t>
      </w:r>
    </w:p>
    <w:p>
      <w:pPr>
        <w:pStyle w:val="ListParagraph"/>
        <w:numPr>
          <w:ilvl w:val="1"/>
          <w:numId w:val="1"/>
        </w:numPr>
        <w:ind w:hanging="567" w:left="1134"/>
        <w:jc w:val="both"/>
        <w:rPr>
          <w:rFonts w:ascii="Arial" w:hAnsi="Arial" w:eastAsia="Times New Roman" w:cs="Arial"/>
          <w:lang w:eastAsia="lt-LT"/>
        </w:rPr>
      </w:pPr>
      <w:r>
        <w:rPr>
          <w:rFonts w:eastAsia="Times New Roman" w:cs="Arial" w:ascii="Arial" w:hAnsi="Arial"/>
          <w:lang w:eastAsia="lt-LT"/>
        </w:rPr>
        <w:t>Draudimo įmokos perskaičiavimas:</w:t>
      </w:r>
    </w:p>
    <w:p>
      <w:pPr>
        <w:pStyle w:val="ListParagraph"/>
        <w:numPr>
          <w:ilvl w:val="2"/>
          <w:numId w:val="1"/>
        </w:numPr>
        <w:ind w:hanging="567" w:left="1134"/>
        <w:jc w:val="both"/>
        <w:rPr>
          <w:rFonts w:ascii="Arial" w:hAnsi="Arial" w:eastAsia="Times New Roman" w:cs="Arial"/>
          <w:lang w:eastAsia="lt-LT"/>
        </w:rPr>
      </w:pPr>
      <w:r>
        <w:rPr>
          <w:rFonts w:cs="Arial" w:ascii="Arial" w:hAnsi="Arial"/>
        </w:rPr>
        <w:t xml:space="preserve">Pasibaigus draudimo laikotarpiui, Draudikas draudimo įmoką perskaičiuoja atsižvelgdamas į bendrą darbuotojų skaičius pokytį. Jei apdraustų darbuotojų skaičius sumažėja ar padidėja daugiau kaip 10 % nuo 2.2. papunktyje nurodyto bendro apdraustųjų darbuotojų skaičiaus, tuomet draudimo įmoka perskaičiuojama. </w:t>
      </w:r>
    </w:p>
    <w:p>
      <w:pPr>
        <w:pStyle w:val="ListParagraph"/>
        <w:ind w:left="1134"/>
        <w:jc w:val="both"/>
        <w:rPr>
          <w:rFonts w:ascii="Arial" w:hAnsi="Arial" w:cs="Arial"/>
        </w:rPr>
      </w:pPr>
      <w:r>
        <w:rPr>
          <w:rFonts w:cs="Arial" w:ascii="Arial" w:hAnsi="Arial"/>
        </w:rPr>
        <w:t>Draudėjas, apie apdraustų darbuotojų skaičiaus pasikeitimus informuoja Draudiką per 10 darbo dienų po draudimo laikotarpio pabaigos. Draudikas remdamasis pateiktais duomenimis per 10 darbo dienų nuo pranešimo gavimo perskaičiuoja draudimo įmoką proporcingai apdraustų darbuotojų skaičiui ir draudimo apsaugos galiojimo laikotarpiui.</w:t>
      </w:r>
    </w:p>
    <w:p>
      <w:pPr>
        <w:pStyle w:val="ListParagraph"/>
        <w:ind w:left="1134"/>
        <w:jc w:val="both"/>
        <w:rPr>
          <w:rFonts w:ascii="Arial" w:hAnsi="Arial" w:eastAsia="Times New Roman" w:cs="Arial"/>
        </w:rPr>
      </w:pPr>
      <w:r>
        <w:rPr>
          <w:rFonts w:cs="Arial" w:ascii="Arial" w:hAnsi="Arial"/>
        </w:rPr>
        <w:t>Darbuotojų skaičiaus padidėjimo atveju Draudėjas sumoka papildomą įmoką Draudikui. Darbuotojų skaičiaus sumažėjimo atveju Draudikas grąžina Draudėjo sumokėtą įmokos dalį. Draudimo įmokų mokėjimo tvarka nurodyta Sutarties specialiųjų sąlygų 5.5.3. ir 5.5.4.papunkčiuose.</w:t>
      </w:r>
    </w:p>
    <w:p>
      <w:pPr>
        <w:pStyle w:val="ListParagraph"/>
        <w:numPr>
          <w:ilvl w:val="1"/>
          <w:numId w:val="1"/>
        </w:numPr>
        <w:jc w:val="both"/>
        <w:rPr>
          <w:rFonts w:ascii="Arial" w:hAnsi="Arial" w:cs="Arial"/>
        </w:rPr>
      </w:pPr>
      <w:r>
        <w:rPr>
          <w:rFonts w:cs="Arial" w:ascii="Arial" w:hAnsi="Arial"/>
          <w:bCs/>
        </w:rPr>
        <w:t xml:space="preserve">Sutarties vykdymo metu gali keistis sąraše (Techninės specifikacijos priedas Nr. 1) nurodytų pareigybių pavadinimai. </w:t>
      </w:r>
    </w:p>
    <w:p>
      <w:pPr>
        <w:pStyle w:val="ListParagraph"/>
        <w:numPr>
          <w:ilvl w:val="1"/>
          <w:numId w:val="1"/>
        </w:numPr>
        <w:spacing w:lineRule="auto" w:line="240" w:before="0" w:after="0"/>
        <w:ind w:hanging="567" w:left="1134"/>
        <w:contextualSpacing/>
        <w:jc w:val="both"/>
        <w:rPr>
          <w:rFonts w:ascii="Arial" w:hAnsi="Arial" w:cs="Arial"/>
          <w:bCs/>
        </w:rPr>
      </w:pPr>
      <w:r>
        <w:rPr>
          <w:rFonts w:cs="Arial" w:ascii="Arial" w:hAnsi="Arial"/>
          <w:bCs/>
        </w:rPr>
        <w:t>VMU darbuotojų Draudimo nuo nelaimingų atsitikimų paslaugų pirkimo techninės specifikacijos priede Nr. 1 nurodytas preliminarus darbuotojų skaičius. Sudarant draudimo liudijimą bus draudžiamas faktinis darbuotojų skaičius sutarties sudarymo dieną.</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bookmarkStart w:id="5" w:name="_Hlk73540082"/>
      <w:r>
        <w:rPr>
          <w:rFonts w:eastAsia="Times New Roman" w:cs="Arial" w:ascii="Arial" w:hAnsi="Arial"/>
          <w:lang w:eastAsia="lt-LT"/>
        </w:rPr>
        <w:t>Visos su Paslaugų teikimu susijusios išlaidos turi būti įtraukiamos į Paslaugų kainą.</w:t>
      </w:r>
      <w:bookmarkEnd w:id="5"/>
    </w:p>
    <w:p>
      <w:pPr>
        <w:pStyle w:val="ListParagraph"/>
        <w:numPr>
          <w:ilvl w:val="1"/>
          <w:numId w:val="1"/>
        </w:numPr>
        <w:ind w:hanging="567" w:left="1134"/>
        <w:jc w:val="both"/>
        <w:rPr>
          <w:rFonts w:ascii="Arial" w:hAnsi="Arial" w:eastAsia="Times New Roman" w:cs="Arial"/>
          <w:lang w:eastAsia="lt-LT"/>
        </w:rPr>
      </w:pPr>
      <w:r>
        <w:rPr>
          <w:rFonts w:eastAsia="Times New Roman" w:cs="Arial" w:ascii="Arial" w:hAnsi="Arial"/>
          <w:lang w:eastAsia="lt-LT"/>
        </w:rPr>
        <w:t>Taikomos standartinės draudimo įmonės darbuotojų draudimo taisyklės tiek, kiek jos neprieštarauja šioje specifikacijoje nurodytoms sąlygoms.</w:t>
      </w:r>
    </w:p>
    <w:p>
      <w:pPr>
        <w:pStyle w:val="ListParagraph"/>
        <w:numPr>
          <w:ilvl w:val="1"/>
          <w:numId w:val="1"/>
        </w:numPr>
        <w:shd w:val="clear" w:color="auto" w:fill="FFFFFF"/>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t>Teikėjas įsipareigoja – tinkamai, kokybiškai ir laiku teikti Paslaugas pagal nustatytus reikalavimus, t. y. visą Paslaugų teikimo laikotarpį užtikrinti draudimo apsaugą.</w:t>
      </w:r>
    </w:p>
    <w:p>
      <w:pPr>
        <w:pStyle w:val="ListParagraph"/>
        <w:numPr>
          <w:ilvl w:val="1"/>
          <w:numId w:val="1"/>
        </w:numPr>
        <w:shd w:val="clear" w:color="auto" w:fill="FFFFFF"/>
        <w:spacing w:lineRule="auto" w:line="240" w:before="16" w:after="0"/>
        <w:ind w:hanging="567" w:left="1134"/>
        <w:contextualSpacing/>
        <w:jc w:val="both"/>
        <w:rPr>
          <w:highlight w:val="none"/>
          <w:shd w:fill="auto" w:val="clear"/>
        </w:rPr>
      </w:pPr>
      <w:r>
        <w:rPr>
          <w:rFonts w:eastAsia="Times New Roman" w:cs="Arial" w:ascii="Arial" w:hAnsi="Arial"/>
          <w:shd w:fill="auto" w:val="clear"/>
          <w:lang w:eastAsia="lt-LT"/>
        </w:rPr>
        <w:t>Draudimo sutartis sudaroma ir administruojama tarpininkaujant draudimo brokerių bendrovei Aon Baltic, UADBB, pagal VĮ Valstybinių miškų urėdijos ir Aon Baltic, UADBB 2024 m. lapkričio 6 d. sudarytą draudimo brokerių paslaugų teikimo sutartį Nr. 77-VP-7887-2024. Draudikas įsipareigoja bendradarbiauti su Draudėjo pasirinktu draudimo brokeriu ir teikti informaciją, reikalingą tinkamam draudimo sutarties sudarymui ir administravimui. Draudimo brokerio atlygio klausimai sprendžiami vadovaujantis draudimo tarpininkavimo veiklą reglamentuojančiais teisės aktais bei draudiko ir draudimo brokerio tarpusavio susitarimais.</w:t>
      </w:r>
    </w:p>
    <w:p>
      <w:pPr>
        <w:pStyle w:val="ListParagraph"/>
        <w:spacing w:lineRule="auto" w:line="240" w:before="16" w:after="0"/>
        <w:ind w:hanging="567" w:left="1134"/>
        <w:contextualSpacing/>
        <w:jc w:val="both"/>
        <w:rPr>
          <w:rFonts w:ascii="Arial" w:hAnsi="Arial" w:eastAsia="Times New Roman" w:cs="Arial"/>
          <w:lang w:eastAsia="lt-LT"/>
        </w:rPr>
      </w:pPr>
      <w:r>
        <w:rPr>
          <w:rFonts w:eastAsia="Times New Roman" w:cs="Arial" w:ascii="Arial" w:hAnsi="Arial"/>
          <w:lang w:eastAsia="lt-LT"/>
        </w:rPr>
      </w:r>
      <w:bookmarkStart w:id="6" w:name="_Hlk73540119_Copy_1"/>
      <w:bookmarkStart w:id="7" w:name="_Hlk27118234_Copy_1"/>
      <w:bookmarkStart w:id="8" w:name="_Hlk73540119_Copy_1"/>
      <w:bookmarkStart w:id="9" w:name="_Hlk27118234_Copy_1"/>
      <w:bookmarkEnd w:id="8"/>
      <w:bookmarkEnd w:id="9"/>
    </w:p>
    <w:p>
      <w:pPr>
        <w:pStyle w:val="Normal"/>
        <w:spacing w:lineRule="auto" w:line="240" w:before="0" w:after="0"/>
        <w:ind w:firstLine="720"/>
        <w:jc w:val="center"/>
        <w:rPr>
          <w:rFonts w:ascii="Arial" w:hAnsi="Arial" w:cs="Arial"/>
        </w:rPr>
      </w:pPr>
      <w:r>
        <w:rPr>
          <w:rFonts w:cs="Arial" w:ascii="Arial" w:hAnsi="Arial"/>
        </w:rPr>
        <w:t>________________</w:t>
      </w:r>
    </w:p>
    <w:p>
      <w:pPr>
        <w:pStyle w:val="Normal"/>
        <w:rPr>
          <w:rFonts w:ascii="Arial" w:hAnsi="Arial" w:cs="Arial"/>
        </w:rPr>
      </w:pPr>
      <w:r>
        <w:rPr>
          <w:rFonts w:cs="Arial" w:ascii="Arial" w:hAnsi="Arial"/>
        </w:rPr>
      </w:r>
      <w:r>
        <w:br w:type="page"/>
      </w:r>
    </w:p>
    <w:p>
      <w:pPr>
        <w:pStyle w:val="Normal"/>
        <w:spacing w:lineRule="auto" w:line="240" w:before="0" w:after="0"/>
        <w:jc w:val="right"/>
        <w:rPr>
          <w:rFonts w:ascii="Arial" w:hAnsi="Arial" w:cs="Arial"/>
          <w:bCs/>
        </w:rPr>
      </w:pPr>
      <w:r>
        <w:rPr>
          <w:rFonts w:cs="Arial" w:ascii="Arial" w:hAnsi="Arial"/>
          <w:bCs/>
        </w:rPr>
        <w:t>VĮ Valstybinių miškų urėdijos draudimo nuo</w:t>
      </w:r>
    </w:p>
    <w:p>
      <w:pPr>
        <w:pStyle w:val="Normal"/>
        <w:spacing w:lineRule="auto" w:line="240" w:before="0" w:after="0"/>
        <w:jc w:val="right"/>
        <w:rPr>
          <w:rFonts w:ascii="Arial" w:hAnsi="Arial" w:cs="Arial"/>
          <w:bCs/>
        </w:rPr>
      </w:pPr>
      <w:r>
        <w:rPr>
          <w:rFonts w:cs="Arial" w:ascii="Arial" w:hAnsi="Arial"/>
          <w:bCs/>
        </w:rPr>
        <w:t>nelaimingų atsitikimų paslaugų pirkimo</w:t>
      </w:r>
    </w:p>
    <w:p>
      <w:pPr>
        <w:pStyle w:val="Normal"/>
        <w:spacing w:lineRule="auto" w:line="240" w:before="0" w:after="0"/>
        <w:jc w:val="right"/>
        <w:rPr>
          <w:rFonts w:ascii="Arial" w:hAnsi="Arial" w:cs="Arial"/>
          <w:bCs/>
        </w:rPr>
      </w:pPr>
      <w:r>
        <w:rPr>
          <w:rFonts w:cs="Arial" w:ascii="Arial" w:hAnsi="Arial"/>
          <w:bCs/>
        </w:rPr>
        <w:t xml:space="preserve">techninės specifikacijos </w:t>
      </w:r>
    </w:p>
    <w:p>
      <w:pPr>
        <w:pStyle w:val="Normal"/>
        <w:spacing w:lineRule="auto" w:line="240" w:before="0" w:after="0"/>
        <w:jc w:val="right"/>
        <w:rPr>
          <w:rFonts w:ascii="Arial" w:hAnsi="Arial" w:cs="Arial"/>
          <w:b/>
        </w:rPr>
      </w:pPr>
      <w:r>
        <w:rPr>
          <w:rFonts w:cs="Arial" w:ascii="Arial" w:hAnsi="Arial"/>
          <w:bCs/>
        </w:rPr>
        <w:t>priedas Nr. 1</w:t>
      </w:r>
    </w:p>
    <w:p>
      <w:pPr>
        <w:pStyle w:val="Normal"/>
        <w:spacing w:lineRule="auto" w:line="240" w:before="0" w:after="0"/>
        <w:jc w:val="center"/>
        <w:rPr>
          <w:rFonts w:ascii="Arial" w:hAnsi="Arial" w:cs="Arial"/>
          <w:b/>
          <w:caps/>
        </w:rPr>
      </w:pPr>
      <w:r>
        <w:rPr>
          <w:rFonts w:cs="Arial" w:ascii="Arial" w:hAnsi="Arial"/>
          <w:b/>
          <w:caps/>
        </w:rPr>
      </w:r>
    </w:p>
    <w:p>
      <w:pPr>
        <w:pStyle w:val="Normal"/>
        <w:spacing w:lineRule="auto" w:line="240" w:before="0" w:after="0"/>
        <w:jc w:val="center"/>
        <w:rPr>
          <w:rFonts w:ascii="Arial" w:hAnsi="Arial" w:cs="Arial"/>
          <w:b/>
          <w:caps/>
        </w:rPr>
      </w:pPr>
      <w:r>
        <w:rPr>
          <w:rFonts w:cs="Arial" w:ascii="Arial" w:hAnsi="Arial"/>
          <w:b/>
          <w:caps/>
        </w:rPr>
        <w:t>Darbuotojų pareigybių sąrašas ir etatų skaičius</w:t>
      </w:r>
    </w:p>
    <w:p>
      <w:pPr>
        <w:pStyle w:val="Normal"/>
        <w:spacing w:lineRule="auto" w:line="240" w:before="0" w:after="0"/>
        <w:jc w:val="center"/>
        <w:rPr>
          <w:rFonts w:ascii="Arial" w:hAnsi="Arial" w:cs="Arial"/>
          <w:b/>
          <w:caps/>
        </w:rPr>
      </w:pPr>
      <w:r>
        <w:rPr>
          <w:rFonts w:cs="Arial" w:ascii="Arial" w:hAnsi="Arial"/>
          <w:b/>
          <w:caps/>
        </w:rPr>
      </w:r>
    </w:p>
    <w:p>
      <w:pPr>
        <w:pStyle w:val="Normal"/>
        <w:spacing w:lineRule="auto" w:line="240" w:before="0" w:after="0"/>
        <w:rPr>
          <w:rFonts w:ascii="Arial" w:hAnsi="Arial" w:cs="Arial"/>
          <w:b/>
          <w:bCs/>
        </w:rPr>
      </w:pPr>
      <w:r>
        <w:rPr>
          <w:rFonts w:cs="Arial" w:ascii="Arial" w:hAnsi="Arial"/>
          <w:b/>
          <w:bCs/>
        </w:rPr>
        <w:t>2026 m. liepos 30 d. duomenimis:</w:t>
      </w:r>
    </w:p>
    <w:tbl>
      <w:tblPr>
        <w:tblW w:w="10196" w:type="dxa"/>
        <w:jc w:val="left"/>
        <w:tblInd w:w="118" w:type="dxa"/>
        <w:tblLayout w:type="fixed"/>
        <w:tblCellMar>
          <w:top w:w="0" w:type="dxa"/>
          <w:left w:w="108" w:type="dxa"/>
          <w:bottom w:w="0" w:type="dxa"/>
          <w:right w:w="108" w:type="dxa"/>
        </w:tblCellMar>
        <w:tblLook w:firstRow="1" w:noVBand="1" w:lastRow="0" w:firstColumn="1" w:lastColumn="0" w:noHBand="0" w:val="04a0"/>
      </w:tblPr>
      <w:tblGrid>
        <w:gridCol w:w="8082"/>
        <w:gridCol w:w="2113"/>
      </w:tblGrid>
      <w:tr>
        <w:trPr>
          <w:tblHeader w:val="true"/>
          <w:trHeight w:val="300" w:hRule="atLeast"/>
        </w:trPr>
        <w:tc>
          <w:tcPr>
            <w:tcW w:w="8082" w:type="dxa"/>
            <w:tcBorders>
              <w:top w:val="single" w:sz="8" w:space="0" w:color="000000"/>
              <w:left w:val="single" w:sz="8" w:space="0" w:color="000000"/>
              <w:bottom w:val="single" w:sz="8" w:space="0" w:color="000000"/>
              <w:right w:val="single" w:sz="8" w:space="0" w:color="000000"/>
            </w:tcBorders>
            <w:shd w:color="000000" w:fill="C5E0B3" w:val="clear"/>
            <w:vAlign w:val="center"/>
          </w:tcPr>
          <w:p>
            <w:pPr>
              <w:pStyle w:val="Normal"/>
              <w:spacing w:lineRule="auto" w:line="240" w:before="0" w:after="0"/>
              <w:rPr>
                <w:rFonts w:ascii="Arial" w:hAnsi="Arial" w:eastAsia="Times New Roman" w:cs="Arial"/>
                <w:b/>
                <w:bCs/>
                <w:color w:val="000000"/>
                <w:lang w:eastAsia="lt-LT"/>
              </w:rPr>
            </w:pPr>
            <w:r>
              <w:rPr>
                <w:rFonts w:eastAsia="Times New Roman" w:cs="Arial" w:ascii="Arial" w:hAnsi="Arial"/>
                <w:b/>
                <w:bCs/>
                <w:color w:val="000000"/>
                <w:lang w:eastAsia="lt-LT"/>
              </w:rPr>
              <w:t>Pareigybė</w:t>
            </w:r>
          </w:p>
        </w:tc>
        <w:tc>
          <w:tcPr>
            <w:tcW w:w="2113" w:type="dxa"/>
            <w:tcBorders>
              <w:top w:val="single" w:sz="8" w:space="0" w:color="000000"/>
              <w:right w:val="single" w:sz="8" w:space="0" w:color="000000"/>
            </w:tcBorders>
            <w:shd w:color="000000" w:fill="C5E0B3" w:val="clear"/>
            <w:vAlign w:val="center"/>
          </w:tcPr>
          <w:p>
            <w:pPr>
              <w:pStyle w:val="Normal"/>
              <w:spacing w:lineRule="auto" w:line="240" w:before="0" w:after="0"/>
              <w:jc w:val="center"/>
              <w:rPr>
                <w:rFonts w:ascii="Arial" w:hAnsi="Arial" w:eastAsia="Times New Roman" w:cs="Arial"/>
                <w:b/>
                <w:bCs/>
                <w:color w:val="000000"/>
                <w:lang w:eastAsia="lt-LT"/>
              </w:rPr>
            </w:pPr>
            <w:r>
              <w:rPr>
                <w:rFonts w:eastAsia="Times New Roman" w:cs="Arial" w:ascii="Arial" w:hAnsi="Arial"/>
                <w:b/>
                <w:bCs/>
                <w:color w:val="000000"/>
                <w:lang w:eastAsia="lt-LT"/>
              </w:rPr>
              <w:t>Darbuotojų sk.</w:t>
            </w:r>
          </w:p>
        </w:tc>
      </w:tr>
      <w:tr>
        <w:trPr>
          <w:trHeight w:val="300" w:hRule="atLeast"/>
        </w:trPr>
        <w:tc>
          <w:tcPr>
            <w:tcW w:w="8082" w:type="dxa"/>
            <w:tcBorders>
              <w:left w:val="single" w:sz="8" w:space="0" w:color="000000"/>
              <w:bottom w:val="single" w:sz="8" w:space="0" w:color="000000"/>
              <w:right w:val="single" w:sz="8" w:space="0" w:color="000000"/>
            </w:tcBorders>
            <w:shd w:color="000000" w:fill="C5E0B3" w:val="clear"/>
            <w:vAlign w:val="center"/>
          </w:tcPr>
          <w:p>
            <w:pPr>
              <w:pStyle w:val="ListParagraph"/>
              <w:numPr>
                <w:ilvl w:val="1"/>
                <w:numId w:val="2"/>
              </w:numPr>
              <w:spacing w:lineRule="auto" w:line="240" w:before="0" w:after="0"/>
              <w:contextualSpacing/>
              <w:rPr>
                <w:rFonts w:ascii="Arial" w:hAnsi="Arial" w:eastAsia="Times New Roman" w:cs="Arial"/>
                <w:color w:val="000000"/>
                <w:lang w:eastAsia="lt-LT"/>
              </w:rPr>
            </w:pPr>
            <w:r>
              <w:rPr>
                <w:rFonts w:eastAsia="Times New Roman" w:cs="Arial" w:ascii="Arial" w:hAnsi="Arial"/>
                <w:color w:val="000000"/>
                <w:lang w:eastAsia="lt-LT"/>
              </w:rPr>
              <w:t>Valstybinių miškų apsaugos pareigūnai:</w:t>
            </w:r>
          </w:p>
        </w:tc>
        <w:tc>
          <w:tcPr>
            <w:tcW w:w="2113" w:type="dxa"/>
            <w:tcBorders>
              <w:top w:val="single" w:sz="8" w:space="0" w:color="000000"/>
              <w:bottom w:val="single" w:sz="8" w:space="0" w:color="000000"/>
              <w:right w:val="single" w:sz="8" w:space="0" w:color="000000"/>
            </w:tcBorders>
            <w:shd w:color="000000" w:fill="C5E0B3" w:val="clear"/>
            <w:vAlign w:val="center"/>
          </w:tcPr>
          <w:p>
            <w:pPr>
              <w:pStyle w:val="Normal"/>
              <w:spacing w:lineRule="auto" w:line="240" w:before="0" w:after="0"/>
              <w:jc w:val="center"/>
              <w:rPr>
                <w:rFonts w:ascii="Arial" w:hAnsi="Arial" w:eastAsia="Times New Roman" w:cs="Arial"/>
                <w:b/>
                <w:bCs/>
                <w:color w:val="000000"/>
                <w:lang w:eastAsia="lt-LT"/>
              </w:rPr>
            </w:pPr>
            <w:r>
              <w:rPr>
                <w:rFonts w:eastAsia="Times New Roman" w:cs="Arial" w:ascii="Arial" w:hAnsi="Arial"/>
                <w:b/>
                <w:bCs/>
                <w:color w:val="000000"/>
                <w:lang w:eastAsia="lt-LT"/>
              </w:rPr>
              <w:t>242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Girininkas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189</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apsaugos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Miškininkystės skyriaus vyresnysis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Prevencijos ir rizikų valdymo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Prevencijos ir rizikų valdymo skyriaus vyriausiasis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Vyriausiasis miškininkas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24</w:t>
            </w:r>
          </w:p>
        </w:tc>
      </w:tr>
      <w:tr>
        <w:trPr>
          <w:trHeight w:val="300" w:hRule="atLeast"/>
        </w:trPr>
        <w:tc>
          <w:tcPr>
            <w:tcW w:w="8082" w:type="dxa"/>
            <w:tcBorders>
              <w:left w:val="single" w:sz="8" w:space="0" w:color="000000"/>
              <w:bottom w:val="single" w:sz="8" w:space="0" w:color="000000"/>
              <w:right w:val="single" w:sz="8" w:space="0" w:color="000000"/>
            </w:tcBorders>
            <w:shd w:color="000000" w:fill="C5E0B3" w:val="clear"/>
            <w:vAlign w:val="center"/>
          </w:tcPr>
          <w:p>
            <w:pPr>
              <w:pStyle w:val="ListParagraph"/>
              <w:numPr>
                <w:ilvl w:val="1"/>
                <w:numId w:val="2"/>
              </w:numPr>
              <w:spacing w:lineRule="auto" w:line="240" w:before="0" w:after="0"/>
              <w:contextualSpacing/>
              <w:rPr>
                <w:rFonts w:ascii="Arial" w:hAnsi="Arial" w:eastAsia="Times New Roman" w:cs="Arial"/>
                <w:color w:val="000000"/>
                <w:lang w:eastAsia="lt-LT"/>
              </w:rPr>
            </w:pPr>
            <w:r>
              <w:rPr>
                <w:rFonts w:eastAsia="Times New Roman" w:cs="Arial" w:ascii="Arial" w:hAnsi="Arial"/>
                <w:color w:val="000000"/>
                <w:lang w:eastAsia="lt-LT"/>
              </w:rPr>
              <w:t>Kiti darbuotojai:</w:t>
            </w:r>
          </w:p>
        </w:tc>
        <w:tc>
          <w:tcPr>
            <w:tcW w:w="2113" w:type="dxa"/>
            <w:tcBorders>
              <w:bottom w:val="single" w:sz="8" w:space="0" w:color="000000"/>
              <w:right w:val="single" w:sz="8" w:space="0" w:color="000000"/>
            </w:tcBorders>
            <w:shd w:color="000000" w:fill="C5E0B3" w:val="clear"/>
            <w:vAlign w:val="center"/>
          </w:tcPr>
          <w:p>
            <w:pPr>
              <w:pStyle w:val="Normal"/>
              <w:spacing w:lineRule="auto" w:line="240" w:before="0" w:after="0"/>
              <w:jc w:val="center"/>
              <w:rPr>
                <w:rFonts w:ascii="Arial" w:hAnsi="Arial" w:eastAsia="Times New Roman" w:cs="Arial"/>
                <w:b/>
                <w:bCs/>
                <w:color w:val="000000"/>
                <w:lang w:eastAsia="lt-LT"/>
              </w:rPr>
            </w:pPr>
            <w:r>
              <w:rPr>
                <w:rFonts w:eastAsia="Times New Roman" w:cs="Arial" w:ascii="Arial" w:hAnsi="Arial"/>
                <w:b/>
                <w:bCs/>
                <w:color w:val="000000"/>
                <w:lang w:eastAsia="lt-LT"/>
              </w:rPr>
              <w:t>2394</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Administravimo direktorius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Administravimo grupės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Analitikas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Apskaitos projektų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Apskaitos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30</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Biokuro padalinio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Buhalterinės apskaitos skyriaus vadovas - vyriausiasis buhalteris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Buhalteris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Dailidė</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14</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Darbininkas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26</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Darbuotojų saugos ir aplinkosaugos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Darbuotojų saugos ir sveikatos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14</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Dokumentų valdymo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Duomenų apsaugos pareigūnas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Duomenų valdymo specialistas - administratorius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Elektrikas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8</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Finansų direktorius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Finansų kontrolierius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Gamybos organizavimo vyr.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24</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Gamtos apsaugos, gamtotvarkos, rekreacijos ir medžioklės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Gamtotvarkos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14</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Generalinio direktoriaus referentas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Generalinis direktorius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Grupės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7</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Informacinio centro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Informacinių technologijų infrastruktūros grupės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Inovacijų ir tvarios plėtros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administratorius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analitikas</w:t>
            </w:r>
          </w:p>
        </w:tc>
        <w:tc>
          <w:tcPr>
            <w:tcW w:w="2113" w:type="dxa"/>
            <w:tcBorders>
              <w:bottom w:val="single" w:sz="4"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4</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skyriaus vadovas</w:t>
            </w:r>
          </w:p>
        </w:tc>
        <w:tc>
          <w:tcPr>
            <w:tcW w:w="2113" w:type="dxa"/>
            <w:tcBorders>
              <w:top w:val="single" w:sz="4" w:space="0" w:color="000000"/>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10</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sprendimų architektas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IT turto administratorius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Jėgeris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Komunikacijos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Logistikos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Mechanikas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23</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Medelyno darbininkas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214</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Medelyno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Medelyno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10</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Medelynų padalinio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meistras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224</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prekybos ir logistikos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ruošos ir prekybos direktorius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ruošos ir prekybos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20</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ruošos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ruošos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16</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Medienos smulkintuvo operatorius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Medienvežio operatorius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Medkirtės operatorius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60</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Medkirtės-medvežės operatorius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Medvežės operatorius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77</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Medžioklės plotų prižiūrėtojas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7</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Miškininkystės direktorius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Miškininkystės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auginimo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infrastruktūros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išteklių apskaitos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 išteklių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Miškotvarkos direktorius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Miškotvarkos grupės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Miškotvarkos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Miškų ūkio darbininkas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221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Mokesčių apskaitos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Nekilnojamojo turto valdymo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Prekybos vadybininkas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26</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Priešgaisrinės saugos operatorius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40</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Priešgaisrinės saugos sargas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Priešgaisrinės saugos sargas -  ugniagesys</w:t>
            </w:r>
          </w:p>
        </w:tc>
        <w:tc>
          <w:tcPr>
            <w:tcW w:w="2113" w:type="dxa"/>
            <w:tcBorders>
              <w:bottom w:val="single" w:sz="4"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58</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Procesų valdymo skyriaus vadovas</w:t>
            </w:r>
          </w:p>
        </w:tc>
        <w:tc>
          <w:tcPr>
            <w:tcW w:w="2113" w:type="dxa"/>
            <w:tcBorders>
              <w:top w:val="single" w:sz="4" w:space="0" w:color="000000"/>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Programuotojas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Projektų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Regioninio padalinio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Rizikų valdymo koordinatorius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Sargas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Sargas-kūrikas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Sistemų plėtros grupės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Skiedrovežio vairuotojas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8</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553</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Specialistas (taksatorius)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17</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Strateginio planavimo ir ekonomikos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Stumbrininkas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Sunkiosios technikos operatorius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Šaltkalvis - remontininkas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36</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Technologijų direktorius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Teisės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Teisininkas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Traktorininkas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55</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Transporto valdymo padalinio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Transporto valdymo grupės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Tvarumo vadovas</w:t>
              <w:tab/>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Ūkvedys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20</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Vairuotojas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30</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Valytojas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49</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Vidaus audito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Vidaus auditorius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Viešųjų pirkimų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analitikas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IT administratorius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IT analitikas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IT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priešgaisrinės saugos sargas - ugniagesys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79</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39</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teisininkas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2</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Vyresnysis vidaus auditorius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Vyriausiasis specialistas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6</w:t>
            </w:r>
          </w:p>
        </w:tc>
      </w:tr>
      <w:tr>
        <w:trPr>
          <w:trHeight w:val="300" w:hRule="atLeast"/>
        </w:trPr>
        <w:tc>
          <w:tcPr>
            <w:tcW w:w="8082" w:type="dxa"/>
            <w:tcBorders>
              <w:left w:val="single" w:sz="8" w:space="0" w:color="000000"/>
              <w:bottom w:val="single" w:sz="8" w:space="0" w:color="000000"/>
              <w:right w:val="single" w:sz="8" w:space="0" w:color="000000"/>
            </w:tcBorders>
            <w:vAlign w:val="center"/>
          </w:tcPr>
          <w:p>
            <w:pPr>
              <w:pStyle w:val="Normal"/>
              <w:spacing w:lineRule="auto" w:line="240" w:before="0" w:after="0"/>
              <w:rPr>
                <w:rFonts w:ascii="Arial" w:hAnsi="Arial" w:eastAsia="Times New Roman" w:cs="Arial"/>
                <w:color w:val="000000"/>
                <w:lang w:eastAsia="lt-LT"/>
              </w:rPr>
            </w:pPr>
            <w:r>
              <w:rPr>
                <w:rFonts w:eastAsia="Times New Roman" w:cs="Arial" w:ascii="Arial" w:hAnsi="Arial"/>
                <w:color w:val="000000"/>
                <w:lang w:eastAsia="lt-LT"/>
              </w:rPr>
              <w:t>Žmonių ir kultūros skyriaus vadovas</w:t>
            </w:r>
          </w:p>
        </w:tc>
        <w:tc>
          <w:tcPr>
            <w:tcW w:w="2113" w:type="dxa"/>
            <w:tcBorders>
              <w:bottom w:val="single" w:sz="8" w:space="0" w:color="000000"/>
              <w:right w:val="single" w:sz="8" w:space="0" w:color="000000"/>
            </w:tcBorders>
            <w:vAlign w:val="center"/>
          </w:tcPr>
          <w:p>
            <w:pPr>
              <w:pStyle w:val="Normal"/>
              <w:spacing w:lineRule="auto" w:line="240" w:before="0" w:after="0"/>
              <w:jc w:val="center"/>
              <w:rPr>
                <w:rFonts w:ascii="Arial" w:hAnsi="Arial" w:eastAsia="Times New Roman" w:cs="Arial"/>
                <w:color w:val="000000"/>
                <w:lang w:eastAsia="lt-LT"/>
              </w:rPr>
            </w:pPr>
            <w:r>
              <w:rPr>
                <w:rFonts w:eastAsia="Times New Roman" w:cs="Arial" w:ascii="Arial" w:hAnsi="Arial"/>
                <w:color w:val="000000"/>
                <w:lang w:eastAsia="lt-LT"/>
              </w:rPr>
              <w:t>1</w:t>
            </w:r>
          </w:p>
        </w:tc>
      </w:tr>
      <w:tr>
        <w:trPr>
          <w:trHeight w:val="300" w:hRule="atLeast"/>
        </w:trPr>
        <w:tc>
          <w:tcPr>
            <w:tcW w:w="8082" w:type="dxa"/>
            <w:tcBorders>
              <w:left w:val="single" w:sz="8" w:space="0" w:color="000000"/>
              <w:bottom w:val="single" w:sz="8" w:space="0" w:color="000000"/>
              <w:right w:val="single" w:sz="8" w:space="0" w:color="000000"/>
            </w:tcBorders>
            <w:shd w:color="000000" w:fill="C5E0B3" w:val="clear"/>
            <w:vAlign w:val="center"/>
          </w:tcPr>
          <w:p>
            <w:pPr>
              <w:pStyle w:val="Normal"/>
              <w:spacing w:lineRule="auto" w:line="240" w:before="0" w:after="0"/>
              <w:rPr>
                <w:rFonts w:ascii="Arial" w:hAnsi="Arial" w:eastAsia="Times New Roman" w:cs="Arial"/>
                <w:b/>
                <w:bCs/>
                <w:color w:val="000000"/>
                <w:lang w:eastAsia="lt-LT"/>
              </w:rPr>
            </w:pPr>
            <w:r>
              <w:rPr>
                <w:rFonts w:eastAsia="Times New Roman" w:cs="Arial" w:ascii="Arial" w:hAnsi="Arial"/>
                <w:b/>
                <w:bCs/>
                <w:color w:val="000000"/>
                <w:lang w:eastAsia="lt-LT"/>
              </w:rPr>
              <w:t>VISO DARBUOTOJŲ</w:t>
            </w:r>
          </w:p>
        </w:tc>
        <w:tc>
          <w:tcPr>
            <w:tcW w:w="2113" w:type="dxa"/>
            <w:tcBorders>
              <w:bottom w:val="single" w:sz="8" w:space="0" w:color="000000"/>
              <w:right w:val="single" w:sz="8" w:space="0" w:color="000000"/>
            </w:tcBorders>
            <w:shd w:color="000000" w:fill="C5E0B3" w:val="clear"/>
            <w:vAlign w:val="center"/>
          </w:tcPr>
          <w:p>
            <w:pPr>
              <w:pStyle w:val="Normal"/>
              <w:spacing w:lineRule="auto" w:line="240" w:before="0" w:after="0"/>
              <w:jc w:val="center"/>
              <w:rPr>
                <w:rFonts w:ascii="Arial" w:hAnsi="Arial" w:eastAsia="Times New Roman" w:cs="Arial"/>
                <w:b/>
                <w:bCs/>
                <w:color w:val="000000"/>
                <w:lang w:eastAsia="lt-LT"/>
              </w:rPr>
            </w:pPr>
            <w:bookmarkStart w:id="10" w:name="_Hlk236292423"/>
            <w:r>
              <w:rPr>
                <w:rFonts w:eastAsia="Times New Roman" w:cs="Arial" w:ascii="Arial" w:hAnsi="Arial"/>
                <w:b/>
                <w:bCs/>
                <w:color w:val="000000"/>
                <w:lang w:eastAsia="lt-LT"/>
              </w:rPr>
              <w:t>263</w:t>
            </w:r>
            <w:bookmarkEnd w:id="10"/>
            <w:r>
              <w:rPr>
                <w:rFonts w:eastAsia="Times New Roman" w:cs="Arial" w:ascii="Arial" w:hAnsi="Arial"/>
                <w:b/>
                <w:bCs/>
                <w:color w:val="000000"/>
                <w:lang w:eastAsia="lt-LT"/>
              </w:rPr>
              <w:t>7</w:t>
            </w:r>
          </w:p>
        </w:tc>
      </w:tr>
    </w:tbl>
    <w:p>
      <w:pPr>
        <w:pStyle w:val="Normal"/>
        <w:spacing w:lineRule="auto" w:line="240" w:before="0" w:after="0"/>
        <w:ind w:firstLine="720"/>
        <w:jc w:val="center"/>
        <w:rPr>
          <w:rFonts w:ascii="Arial" w:hAnsi="Arial" w:cs="Arial"/>
        </w:rPr>
      </w:pPr>
      <w:r>
        <w:rPr>
          <w:rFonts w:cs="Arial" w:ascii="Arial" w:hAnsi="Arial"/>
        </w:rPr>
        <w:t>________________________</w:t>
      </w:r>
    </w:p>
    <w:sectPr>
      <w:type w:val="nextPage"/>
      <w:pgSz w:w="12240" w:h="15840"/>
      <w:pgMar w:left="1247" w:right="567" w:gutter="0" w:header="0" w:top="1647" w:footer="0" w:bottom="992"/>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TrebuchetMS">
    <w:charset w:val="00"/>
    <w:family w:val="roman"/>
    <w:pitch w:val="variable"/>
  </w:font>
  <w:font w:name="Liberation Sans">
    <w:altName w:val="Arial"/>
    <w:charset w:val="00"/>
    <w:family w:val="swiss"/>
    <w:pitch w:val="variable"/>
  </w:font>
  <w:font w:name="Aptos">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1080" w:hanging="360"/>
      </w:pPr>
      <w:rPr/>
    </w:lvl>
    <w:lvl w:ilvl="1">
      <w:start w:val="1"/>
      <w:numFmt w:val="decimal"/>
      <w:lvlText w:val="%1.%2."/>
      <w:lvlJc w:val="left"/>
      <w:pPr>
        <w:tabs>
          <w:tab w:val="num" w:pos="1080"/>
        </w:tabs>
        <w:ind w:left="1572" w:hanging="720"/>
      </w:pPr>
      <w:rPr>
        <w:dstrike w:val="false"/>
        <w:strike w:val="false"/>
        <w:b w:val="false"/>
        <w:bCs/>
        <w:rFonts w:cs="Arial"/>
      </w:rPr>
    </w:lvl>
    <w:lvl w:ilvl="2">
      <w:start w:val="1"/>
      <w:numFmt w:val="decimal"/>
      <w:lvlText w:val="%1.%2.%3."/>
      <w:lvlJc w:val="left"/>
      <w:pPr>
        <w:tabs>
          <w:tab w:val="num" w:pos="873"/>
        </w:tabs>
        <w:ind w:left="1146" w:hanging="720"/>
      </w:pPr>
      <w:rPr>
        <w:b w:val="false"/>
        <w:bCs w:val="false"/>
      </w:rPr>
    </w:lvl>
    <w:lvl w:ilvl="3">
      <w:start w:val="1"/>
      <w:numFmt w:val="decimal"/>
      <w:lvlText w:val="%1.%2.%3.%4."/>
      <w:lvlJc w:val="left"/>
      <w:pPr>
        <w:tabs>
          <w:tab w:val="num" w:pos="1800"/>
        </w:tabs>
        <w:ind w:left="1800" w:hanging="1080"/>
      </w:pPr>
      <w:rPr>
        <w:sz w:val="22"/>
        <w:szCs w:val="22"/>
      </w:rPr>
    </w:lvl>
    <w:lvl w:ilvl="4">
      <w:start w:val="1"/>
      <w:numFmt w:val="decimal"/>
      <w:lvlText w:val="%1.%2.%3.%4.%5."/>
      <w:lvlJc w:val="left"/>
      <w:pPr>
        <w:tabs>
          <w:tab w:val="num" w:pos="2160"/>
        </w:tabs>
        <w:ind w:left="1800" w:hanging="1080"/>
      </w:pPr>
      <w:rPr/>
    </w:lvl>
    <w:lvl w:ilvl="5">
      <w:start w:val="1"/>
      <w:numFmt w:val="decimal"/>
      <w:lvlText w:val="%1.%2.%3.%4.%5.%6."/>
      <w:lvlJc w:val="left"/>
      <w:pPr>
        <w:tabs>
          <w:tab w:val="num" w:pos="2520"/>
        </w:tabs>
        <w:ind w:left="2160" w:hanging="1440"/>
      </w:pPr>
      <w:rPr/>
    </w:lvl>
    <w:lvl w:ilvl="6">
      <w:start w:val="1"/>
      <w:numFmt w:val="decimal"/>
      <w:lvlText w:val="%1.%2.%3.%4.%5.%6.%7."/>
      <w:lvlJc w:val="left"/>
      <w:pPr>
        <w:tabs>
          <w:tab w:val="num" w:pos="2880"/>
        </w:tabs>
        <w:ind w:left="2160" w:hanging="1440"/>
      </w:pPr>
      <w:rPr/>
    </w:lvl>
    <w:lvl w:ilvl="7">
      <w:start w:val="1"/>
      <w:numFmt w:val="decimal"/>
      <w:lvlText w:val="%1.%2.%3.%4.%5.%6.%7.%8."/>
      <w:lvlJc w:val="left"/>
      <w:pPr>
        <w:tabs>
          <w:tab w:val="num" w:pos="3240"/>
        </w:tabs>
        <w:ind w:left="2520" w:hanging="1800"/>
      </w:pPr>
      <w:rPr/>
    </w:lvl>
    <w:lvl w:ilvl="8">
      <w:start w:val="1"/>
      <w:numFmt w:val="decimal"/>
      <w:lvlText w:val="%1.%2.%3.%4.%5.%6.%7.%8.%9."/>
      <w:lvlJc w:val="left"/>
      <w:pPr>
        <w:tabs>
          <w:tab w:val="num" w:pos="3600"/>
        </w:tabs>
        <w:ind w:left="2880" w:hanging="2160"/>
      </w:pPr>
      <w:rPr/>
    </w:lvl>
  </w:abstractNum>
  <w:abstractNum w:abstractNumId="2">
    <w:lvl w:ilvl="0">
      <w:start w:val="1"/>
      <w:numFmt w:val="decimal"/>
      <w:lvlText w:val="%1."/>
      <w:lvlJc w:val="left"/>
      <w:pPr>
        <w:tabs>
          <w:tab w:val="num" w:pos="720"/>
        </w:tabs>
        <w:ind w:left="360" w:hanging="360"/>
      </w:pPr>
      <w:rPr/>
    </w:lvl>
    <w:lvl w:ilvl="1">
      <w:start w:val="1"/>
      <w:numFmt w:val="decimal"/>
      <w:lvlText w:val="%1.%2."/>
      <w:lvlJc w:val="left"/>
      <w:pPr>
        <w:tabs>
          <w:tab w:val="num" w:pos="1080"/>
        </w:tabs>
        <w:ind w:left="720" w:hanging="720"/>
      </w:pPr>
      <w:rPr/>
    </w:lvl>
    <w:lvl w:ilvl="2">
      <w:start w:val="1"/>
      <w:numFmt w:val="decimal"/>
      <w:lvlText w:val="%1.%2.%3."/>
      <w:lvlJc w:val="left"/>
      <w:pPr>
        <w:tabs>
          <w:tab w:val="num" w:pos="1440"/>
        </w:tabs>
        <w:ind w:left="720" w:hanging="720"/>
      </w:pPr>
      <w:rPr/>
    </w:lvl>
    <w:lvl w:ilvl="3">
      <w:start w:val="1"/>
      <w:numFmt w:val="decimal"/>
      <w:lvlText w:val="%1.%2.%3.%4."/>
      <w:lvlJc w:val="left"/>
      <w:pPr>
        <w:tabs>
          <w:tab w:val="num" w:pos="1800"/>
        </w:tabs>
        <w:ind w:left="1080" w:hanging="1080"/>
      </w:pPr>
      <w:rPr/>
    </w:lvl>
    <w:lvl w:ilvl="4">
      <w:start w:val="1"/>
      <w:numFmt w:val="decimal"/>
      <w:lvlText w:val="%1.%2.%3.%4.%5."/>
      <w:lvlJc w:val="left"/>
      <w:pPr>
        <w:tabs>
          <w:tab w:val="num" w:pos="2160"/>
        </w:tabs>
        <w:ind w:left="1080" w:hanging="1080"/>
      </w:pPr>
      <w:rPr/>
    </w:lvl>
    <w:lvl w:ilvl="5">
      <w:start w:val="1"/>
      <w:numFmt w:val="decimal"/>
      <w:lvlText w:val="%1.%2.%3.%4.%5.%6."/>
      <w:lvlJc w:val="left"/>
      <w:pPr>
        <w:tabs>
          <w:tab w:val="num" w:pos="2520"/>
        </w:tabs>
        <w:ind w:left="1440" w:hanging="1440"/>
      </w:pPr>
      <w:rPr/>
    </w:lvl>
    <w:lvl w:ilvl="6">
      <w:start w:val="1"/>
      <w:numFmt w:val="decimal"/>
      <w:lvlText w:val="%1.%2.%3.%4.%5.%6.%7."/>
      <w:lvlJc w:val="left"/>
      <w:pPr>
        <w:tabs>
          <w:tab w:val="num" w:pos="2880"/>
        </w:tabs>
        <w:ind w:left="1440" w:hanging="1440"/>
      </w:pPr>
      <w:rPr/>
    </w:lvl>
    <w:lvl w:ilvl="7">
      <w:start w:val="1"/>
      <w:numFmt w:val="decimal"/>
      <w:lvlText w:val="%1.%2.%3.%4.%5.%6.%7.%8."/>
      <w:lvlJc w:val="left"/>
      <w:pPr>
        <w:tabs>
          <w:tab w:val="num" w:pos="3240"/>
        </w:tabs>
        <w:ind w:left="1800" w:hanging="1800"/>
      </w:pPr>
      <w:rPr/>
    </w:lvl>
    <w:lvl w:ilvl="8">
      <w:start w:val="1"/>
      <w:numFmt w:val="decimal"/>
      <w:lvlText w:val="%1.%2.%3.%4.%5.%6.%7.%8.%9."/>
      <w:lvlJc w:val="left"/>
      <w:pPr>
        <w:tabs>
          <w:tab w:val="num" w:pos="3600"/>
        </w:tabs>
        <w:ind w:left="1800" w:hanging="180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autoHyphenation w:val="true"/>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04ace"/>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character" w:styleId="DefaultParagraphFont" w:default="1">
    <w:name w:val="Default Paragraph Font"/>
    <w:uiPriority w:val="1"/>
    <w:semiHidden/>
    <w:unhideWhenUsed/>
    <w:qFormat/>
    <w:rPr/>
  </w:style>
  <w:style w:type="character" w:styleId="Pagrindiniotekstotrauka2Diagrama" w:customStyle="1">
    <w:name w:val="Pagrindinio teksto įtrauka 2 Diagrama"/>
    <w:basedOn w:val="DefaultParagraphFont"/>
    <w:link w:val="BodyTextIndent2"/>
    <w:qFormat/>
    <w:rsid w:val="00904ace"/>
    <w:rPr>
      <w:rFonts w:ascii="Times New Roman" w:hAnsi="Times New Roman" w:eastAsia="Times New Roman" w:cs="Times New Roman"/>
      <w:sz w:val="24"/>
      <w:szCs w:val="24"/>
      <w:lang w:val="lt-LT" w:eastAsia="lt-LT"/>
    </w:rPr>
  </w:style>
  <w:style w:type="character" w:styleId="SraopastraipaDiagrama" w:customStyle="1">
    <w:name w:val="Sąrašo pastraipa Diagrama"/>
    <w:link w:val="ListParagraph"/>
    <w:uiPriority w:val="1"/>
    <w:qFormat/>
    <w:rsid w:val="00904ace"/>
    <w:rPr>
      <w:lang w:val="lt-LT"/>
    </w:rPr>
  </w:style>
  <w:style w:type="character" w:styleId="CommentReference">
    <w:name w:val="annotation reference"/>
    <w:basedOn w:val="DefaultParagraphFont"/>
    <w:unhideWhenUsed/>
    <w:qFormat/>
    <w:rsid w:val="003f633d"/>
    <w:rPr>
      <w:sz w:val="16"/>
      <w:szCs w:val="16"/>
    </w:rPr>
  </w:style>
  <w:style w:type="character" w:styleId="KomentarotekstasDiagrama" w:customStyle="1">
    <w:name w:val="Komentaro tekstas Diagrama"/>
    <w:basedOn w:val="DefaultParagraphFont"/>
    <w:qFormat/>
    <w:rsid w:val="003f633d"/>
    <w:rPr>
      <w:sz w:val="20"/>
      <w:szCs w:val="20"/>
      <w:lang w:val="lt-LT"/>
    </w:rPr>
  </w:style>
  <w:style w:type="character" w:styleId="KomentarotemaDiagrama" w:customStyle="1">
    <w:name w:val="Komentaro tema Diagrama"/>
    <w:basedOn w:val="KomentarotekstasDiagrama"/>
    <w:link w:val="annotationsubject"/>
    <w:uiPriority w:val="99"/>
    <w:semiHidden/>
    <w:qFormat/>
    <w:rsid w:val="003f633d"/>
    <w:rPr>
      <w:b/>
      <w:bCs/>
      <w:sz w:val="20"/>
      <w:szCs w:val="20"/>
      <w:lang w:val="lt-LT"/>
    </w:rPr>
  </w:style>
  <w:style w:type="character" w:styleId="DebesliotekstasDiagrama" w:customStyle="1">
    <w:name w:val="Debesėlio tekstas Diagrama"/>
    <w:basedOn w:val="DefaultParagraphFont"/>
    <w:link w:val="BalloonText"/>
    <w:uiPriority w:val="99"/>
    <w:semiHidden/>
    <w:qFormat/>
    <w:rsid w:val="003f633d"/>
    <w:rPr>
      <w:rFonts w:ascii="Segoe UI" w:hAnsi="Segoe UI" w:cs="Segoe UI"/>
      <w:sz w:val="18"/>
      <w:szCs w:val="18"/>
      <w:lang w:val="lt-LT"/>
    </w:rPr>
  </w:style>
  <w:style w:type="character" w:styleId="InternetLink" w:customStyle="1">
    <w:name w:val="Internet Link"/>
    <w:basedOn w:val="DefaultParagraphFont"/>
    <w:uiPriority w:val="99"/>
    <w:unhideWhenUsed/>
    <w:qFormat/>
    <w:rsid w:val="00461c5f"/>
    <w:rPr>
      <w:color w:val="0000FF"/>
      <w:u w:val="single"/>
    </w:rPr>
  </w:style>
  <w:style w:type="character" w:styleId="AntratsDiagrama" w:customStyle="1">
    <w:name w:val="Antraštės Diagrama"/>
    <w:basedOn w:val="DefaultParagraphFont"/>
    <w:uiPriority w:val="99"/>
    <w:qFormat/>
    <w:rsid w:val="00c95aca"/>
    <w:rPr>
      <w:lang w:val="lt-LT"/>
    </w:rPr>
  </w:style>
  <w:style w:type="character" w:styleId="PoratDiagrama" w:customStyle="1">
    <w:name w:val="Poraštė Diagrama"/>
    <w:basedOn w:val="DefaultParagraphFont"/>
    <w:uiPriority w:val="99"/>
    <w:qFormat/>
    <w:rsid w:val="00c95aca"/>
    <w:rPr>
      <w:lang w:val="lt-LT"/>
    </w:rPr>
  </w:style>
  <w:style w:type="character" w:styleId="Strong">
    <w:name w:val="Strong"/>
    <w:basedOn w:val="DefaultParagraphFont"/>
    <w:uiPriority w:val="22"/>
    <w:qFormat/>
    <w:rsid w:val="00224c6e"/>
    <w:rPr>
      <w:b/>
      <w:bCs/>
    </w:rPr>
  </w:style>
  <w:style w:type="character" w:styleId="clear" w:customStyle="1">
    <w:name w:val="clear"/>
    <w:basedOn w:val="DefaultParagraphFont"/>
    <w:qFormat/>
    <w:rsid w:val="009c73e8"/>
    <w:rPr/>
  </w:style>
  <w:style w:type="character" w:styleId="fontstyle01" w:customStyle="1">
    <w:name w:val="fontstyle01"/>
    <w:basedOn w:val="DefaultParagraphFont"/>
    <w:qFormat/>
    <w:rsid w:val="00f90193"/>
    <w:rPr>
      <w:rFonts w:ascii="TrebuchetMS" w:hAnsi="TrebuchetMS"/>
      <w:b w:val="false"/>
      <w:bCs w:val="false"/>
      <w:i w:val="false"/>
      <w:iCs w:val="false"/>
      <w:color w:val="000000"/>
      <w:sz w:val="20"/>
      <w:szCs w:val="20"/>
    </w:rPr>
  </w:style>
  <w:style w:type="character" w:styleId="Laukeliai" w:customStyle="1">
    <w:name w:val="Laukeliai"/>
    <w:basedOn w:val="DefaultParagraphFont"/>
    <w:uiPriority w:val="1"/>
    <w:qFormat/>
    <w:rsid w:val="008647d0"/>
    <w:rPr>
      <w:rFonts w:ascii="Arial" w:hAnsi="Arial"/>
      <w:sz w:val="20"/>
    </w:rPr>
  </w:style>
  <w:style w:type="character" w:styleId="PuslapioinaostekstasDiagrama" w:customStyle="1">
    <w:name w:val="Puslapio išnašos tekstas Diagrama"/>
    <w:basedOn w:val="DefaultParagraphFont"/>
    <w:qFormat/>
    <w:rsid w:val="007119a7"/>
    <w:rPr>
      <w:rFonts w:ascii="Times New Roman" w:hAnsi="Times New Roman" w:eastAsia="Times New Roman" w:cs="Times New Roman"/>
      <w:sz w:val="20"/>
      <w:szCs w:val="20"/>
      <w:lang w:val="lt-L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customStyle="1">
    <w:name w:val="Footnote Characters1"/>
    <w:qFormat/>
    <w:rPr>
      <w:vertAlign w:val="superscript"/>
    </w:rPr>
  </w:style>
  <w:style w:type="character" w:styleId="FootnoteCharacters11" w:customStyle="1">
    <w:name w:val="Footnote Characters11"/>
    <w:qFormat/>
    <w:rPr>
      <w:vertAlign w:val="superscript"/>
    </w:rPr>
  </w:style>
  <w:style w:type="character" w:styleId="FootnoteCharacters111" w:customStyle="1">
    <w:name w:val="Footnote Characters111"/>
    <w:qFormat/>
    <w:rPr>
      <w:vertAlign w:val="superscript"/>
    </w:rPr>
  </w:style>
  <w:style w:type="character" w:styleId="FootnoteCharacters1111" w:customStyle="1">
    <w:name w:val="Footnote Characters1111"/>
    <w:qFormat/>
    <w:rPr>
      <w:vertAlign w:val="superscript"/>
    </w:rPr>
  </w:style>
  <w:style w:type="character" w:styleId="FootnoteCharacters11111" w:customStyle="1">
    <w:name w:val="Footnote Characters11111"/>
    <w:qFormat/>
    <w:rPr>
      <w:vertAlign w:val="superscript"/>
    </w:rPr>
  </w:style>
  <w:style w:type="character" w:styleId="FootnoteCharacters111111" w:customStyle="1">
    <w:name w:val="Footnote Characters111111"/>
    <w:qFormat/>
    <w:rPr>
      <w:vertAlign w:val="superscript"/>
    </w:rPr>
  </w:style>
  <w:style w:type="character" w:styleId="FootnoteCharacters1111111" w:customStyle="1">
    <w:name w:val="Footnote Characters1111111"/>
    <w:qFormat/>
    <w:rPr>
      <w:vertAlign w:val="superscript"/>
    </w:rPr>
  </w:style>
  <w:style w:type="character" w:styleId="FootnoteCharacters11111111" w:customStyle="1">
    <w:name w:val="Footnote Characters11111111"/>
    <w:qFormat/>
    <w:rPr>
      <w:vertAlign w:val="superscript"/>
    </w:rPr>
  </w:style>
  <w:style w:type="character" w:styleId="FootnoteCharacters111111111" w:customStyle="1">
    <w:name w:val="Footnote Characters111111111"/>
    <w:qFormat/>
    <w:rPr>
      <w:vertAlign w:val="superscript"/>
    </w:rPr>
  </w:style>
  <w:style w:type="character" w:styleId="FootnoteCharacters1111111111" w:customStyle="1">
    <w:name w:val="Footnote Characters1111111111"/>
    <w:basedOn w:val="DefaultParagraphFont"/>
    <w:qFormat/>
    <w:rsid w:val="007119a7"/>
    <w:rPr>
      <w:vertAlign w:val="superscript"/>
    </w:rPr>
  </w:style>
  <w:style w:type="character" w:styleId="Neapdorotaspaminjimas1" w:customStyle="1">
    <w:name w:val="Neapdorotas paminėjimas1"/>
    <w:basedOn w:val="DefaultParagraphFont"/>
    <w:uiPriority w:val="99"/>
    <w:semiHidden/>
    <w:unhideWhenUsed/>
    <w:qFormat/>
    <w:rsid w:val="00f121f2"/>
    <w:rPr>
      <w:color w:val="605E5C"/>
      <w:shd w:fill="E1DFDD" w:val="clear"/>
    </w:rPr>
  </w:style>
  <w:style w:type="character" w:styleId="PagrindinistekstasDiagrama" w:customStyle="1">
    <w:name w:val="Pagrindinis tekstas Diagrama"/>
    <w:basedOn w:val="DefaultParagraphFont"/>
    <w:uiPriority w:val="99"/>
    <w:semiHidden/>
    <w:qFormat/>
    <w:rsid w:val="00ff6224"/>
    <w:rPr>
      <w:lang w:val="lt-LT"/>
    </w:rPr>
  </w:style>
  <w:style w:type="character" w:styleId="Mention">
    <w:name w:val="Mention"/>
    <w:basedOn w:val="DefaultParagraphFont"/>
    <w:uiPriority w:val="99"/>
    <w:unhideWhenUsed/>
    <w:qFormat/>
    <w:rsid w:val="00083ba6"/>
    <w:rPr>
      <w:color w:val="2B579A"/>
      <w:shd w:fill="E1DFDD" w:val="clear"/>
    </w:rPr>
  </w:style>
  <w:style w:type="character" w:styleId="ui-provider" w:customStyle="1">
    <w:name w:val="ui-provider"/>
    <w:basedOn w:val="DefaultParagraphFont"/>
    <w:qFormat/>
    <w:rsid w:val="008621f6"/>
    <w:rPr/>
  </w:style>
  <w:style w:type="character" w:styleId="LineNumbering" w:customStyle="1">
    <w:name w:val="Line Numbering"/>
    <w:qFormat/>
    <w:rPr/>
  </w:style>
  <w:style w:type="character" w:styleId="LineNumbering1" w:customStyle="1">
    <w:name w:val="Line Numbering1"/>
    <w:qFormat/>
    <w:rPr/>
  </w:style>
  <w:style w:type="character" w:styleId="LineNumbering2" w:customStyle="1">
    <w:name w:val="Line Numbering2"/>
    <w:qFormat/>
    <w:rPr/>
  </w:style>
  <w:style w:type="character" w:styleId="LineNumbering3" w:customStyle="1">
    <w:name w:val="Line Numbering3"/>
    <w:qFormat/>
    <w:rPr/>
  </w:style>
  <w:style w:type="character" w:styleId="LineNumbering4" w:customStyle="1">
    <w:name w:val="Line Numbering4"/>
    <w:qFormat/>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PagrindinistekstasDiagrama"/>
    <w:uiPriority w:val="99"/>
    <w:semiHidden/>
    <w:unhideWhenUsed/>
    <w:rsid w:val="00ff6224"/>
    <w:pPr>
      <w:spacing w:before="0" w:after="12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Antrat1" w:customStyle="1">
    <w:name w:val="Antraštė1"/>
    <w:basedOn w:val="Normal"/>
    <w:next w:val="BodyText"/>
    <w:qFormat/>
    <w:pPr>
      <w:keepNext w:val="true"/>
      <w:spacing w:before="240" w:after="120"/>
    </w:pPr>
    <w:rPr>
      <w:rFonts w:ascii="Liberation Sans" w:hAnsi="Liberation Sans" w:eastAsia="Microsoft YaHei" w:cs="Lucida Sans"/>
      <w:sz w:val="28"/>
      <w:szCs w:val="28"/>
    </w:rPr>
  </w:style>
  <w:style w:type="paragraph" w:styleId="ListParagraph">
    <w:name w:val="List Paragraph"/>
    <w:basedOn w:val="Normal"/>
    <w:link w:val="SraopastraipaDiagrama"/>
    <w:uiPriority w:val="34"/>
    <w:qFormat/>
    <w:rsid w:val="00904ace"/>
    <w:pPr>
      <w:spacing w:before="0" w:after="160"/>
      <w:ind w:left="720"/>
      <w:contextualSpacing/>
    </w:pPr>
    <w:rPr/>
  </w:style>
  <w:style w:type="paragraph" w:styleId="BodyTextIndent2">
    <w:name w:val="Body Text Indent 2"/>
    <w:basedOn w:val="Normal"/>
    <w:link w:val="Pagrindiniotekstotrauka2Diagrama"/>
    <w:qFormat/>
    <w:rsid w:val="00904ace"/>
    <w:pPr>
      <w:spacing w:lineRule="auto" w:line="480" w:before="0" w:after="120"/>
      <w:ind w:firstLine="567" w:left="283"/>
      <w:jc w:val="both"/>
    </w:pPr>
    <w:rPr>
      <w:rFonts w:ascii="Times New Roman" w:hAnsi="Times New Roman" w:eastAsia="Times New Roman" w:cs="Times New Roman"/>
      <w:sz w:val="24"/>
      <w:szCs w:val="24"/>
      <w:lang w:eastAsia="lt-LT"/>
    </w:rPr>
  </w:style>
  <w:style w:type="paragraph" w:styleId="CommentText">
    <w:name w:val="annotation text"/>
    <w:basedOn w:val="Normal"/>
    <w:link w:val="KomentarotekstasDiagrama"/>
    <w:unhideWhenUsed/>
    <w:qFormat/>
    <w:rsid w:val="003f633d"/>
    <w:pPr>
      <w:spacing w:lineRule="auto" w:line="240"/>
    </w:pPr>
    <w:rPr>
      <w:sz w:val="20"/>
      <w:szCs w:val="20"/>
    </w:rPr>
  </w:style>
  <w:style w:type="paragraph" w:styleId="annotationsubject">
    <w:name w:val="annotation subject"/>
    <w:basedOn w:val="CommentText"/>
    <w:next w:val="CommentText"/>
    <w:link w:val="KomentarotemaDiagrama"/>
    <w:uiPriority w:val="99"/>
    <w:semiHidden/>
    <w:unhideWhenUsed/>
    <w:qFormat/>
    <w:rsid w:val="003f633d"/>
    <w:pPr/>
    <w:rPr>
      <w:b/>
      <w:bCs/>
    </w:rPr>
  </w:style>
  <w:style w:type="paragraph" w:styleId="BalloonText">
    <w:name w:val="Balloon Text"/>
    <w:basedOn w:val="Normal"/>
    <w:link w:val="DebesliotekstasDiagrama"/>
    <w:uiPriority w:val="99"/>
    <w:semiHidden/>
    <w:unhideWhenUsed/>
    <w:qFormat/>
    <w:rsid w:val="003f633d"/>
    <w:pPr>
      <w:spacing w:lineRule="auto" w:line="240" w:before="0" w:after="0"/>
    </w:pPr>
    <w:rPr>
      <w:rFonts w:ascii="Segoe UI" w:hAnsi="Segoe UI" w:cs="Segoe UI"/>
      <w:sz w:val="18"/>
      <w:szCs w:val="18"/>
    </w:rPr>
  </w:style>
  <w:style w:type="paragraph" w:styleId="NormalWeb">
    <w:name w:val="Normal (Web)"/>
    <w:basedOn w:val="Normal"/>
    <w:uiPriority w:val="99"/>
    <w:unhideWhenUsed/>
    <w:qFormat/>
    <w:rsid w:val="00461c5f"/>
    <w:pPr>
      <w:spacing w:lineRule="auto" w:line="240" w:beforeAutospacing="1" w:afterAutospacing="1"/>
    </w:pPr>
    <w:rPr>
      <w:rFonts w:ascii="Times New Roman" w:hAnsi="Times New Roman" w:eastAsia="Times New Roman" w:cs="Times New Roman"/>
      <w:sz w:val="24"/>
      <w:szCs w:val="24"/>
      <w:lang w:eastAsia="lt-LT"/>
    </w:rPr>
  </w:style>
  <w:style w:type="paragraph" w:styleId="Revision">
    <w:name w:val="Revision"/>
    <w:uiPriority w:val="99"/>
    <w:semiHidden/>
    <w:qFormat/>
    <w:rsid w:val="00aa414f"/>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lt-LT" w:eastAsia="en-US" w:bidi="ar-SA"/>
    </w:rPr>
  </w:style>
  <w:style w:type="paragraph" w:styleId="Puslapinantratirporat" w:customStyle="1">
    <w:name w:val="Puslapinė antraštė ir poraštė"/>
    <w:basedOn w:val="Normal"/>
    <w:qFormat/>
    <w:pPr/>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c95aca"/>
    <w:pPr>
      <w:tabs>
        <w:tab w:val="clear" w:pos="720"/>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c95aca"/>
    <w:pPr>
      <w:tabs>
        <w:tab w:val="clear" w:pos="720"/>
        <w:tab w:val="center" w:pos="4819" w:leader="none"/>
        <w:tab w:val="right" w:pos="9638" w:leader="none"/>
      </w:tabs>
      <w:spacing w:lineRule="auto" w:line="240" w:before="0" w:after="0"/>
    </w:pPr>
    <w:rPr/>
  </w:style>
  <w:style w:type="paragraph" w:styleId="Body2" w:customStyle="1">
    <w:name w:val="Body 2"/>
    <w:qFormat/>
    <w:rsid w:val="001a6b82"/>
    <w:pPr>
      <w:widowControl/>
      <w:suppressAutoHyphens w:val="true"/>
      <w:bidi w:val="0"/>
      <w:spacing w:before="0" w:after="40"/>
      <w:jc w:val="both"/>
    </w:pPr>
    <w:rPr>
      <w:rFonts w:ascii="Times New Roman" w:hAnsi="Times New Roman" w:eastAsia="Arial Unicode MS" w:cs="Arial Unicode MS"/>
      <w:color w:val="000000"/>
      <w:kern w:val="0"/>
      <w:sz w:val="22"/>
      <w:szCs w:val="22"/>
      <w:lang w:eastAsia="lt-LT" w:val="en-US" w:bidi="ar-SA"/>
    </w:rPr>
  </w:style>
  <w:style w:type="paragraph" w:styleId="FootnoteText">
    <w:name w:val="footnote text"/>
    <w:basedOn w:val="Normal"/>
    <w:link w:val="PuslapioinaostekstasDiagrama"/>
    <w:rsid w:val="007119a7"/>
    <w:pPr>
      <w:spacing w:lineRule="auto" w:line="240" w:before="0" w:after="0"/>
    </w:pPr>
    <w:rPr>
      <w:rFonts w:ascii="Times New Roman" w:hAnsi="Times New Roman" w:eastAsia="Times New Roman" w:cs="Times New Roman"/>
      <w:sz w:val="20"/>
      <w:szCs w:val="20"/>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39"/>
    <w:rsid w:val="00224c6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customXml" Target="../customXml/item3.xml"/><Relationship Id="rId9"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2D89C4D50564091DF21CF99B75348" ma:contentTypeVersion="6" ma:contentTypeDescription="Create a new document." ma:contentTypeScope="" ma:versionID="6bbd5b408c4bec9eb7f4273eda098dd5">
  <xsd:schema xmlns:xsd="http://www.w3.org/2001/XMLSchema" xmlns:xs="http://www.w3.org/2001/XMLSchema" xmlns:p="http://schemas.microsoft.com/office/2006/metadata/properties" xmlns:ns3="2c796e04-0eb5-4db5-8d10-21ca56b5e11a" targetNamespace="http://schemas.microsoft.com/office/2006/metadata/properties" ma:root="true" ma:fieldsID="34fb6c9c4ee5f098e1e93900115efbd4" ns3:_="">
    <xsd:import namespace="2c796e04-0eb5-4db5-8d10-21ca56b5e11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96e04-0eb5-4db5-8d10-21ca56b5e1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0D1CA5-8CC7-454A-B961-2255A5E0B0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18992A8-DDF7-41D6-A1ED-A2F7E26AA45F}">
  <ds:schemaRefs>
    <ds:schemaRef ds:uri="http://schemas.openxmlformats.org/officeDocument/2006/bibliography"/>
  </ds:schemaRefs>
</ds:datastoreItem>
</file>

<file path=customXml/itemProps3.xml><?xml version="1.0" encoding="utf-8"?>
<ds:datastoreItem xmlns:ds="http://schemas.openxmlformats.org/officeDocument/2006/customXml" ds:itemID="{BD0A4E55-E8D2-4DEA-978D-0C04726B2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96e04-0eb5-4db5-8d10-21ca56b5e1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74E5A0-323C-4AE4-A533-2F058706FC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Application>LibreOffice/24.8.0.3$Windows_X86_64 LibreOffice_project/0bdf1299c94fe897b119f97f3c613e9dca6be583</Application>
  <AppVersion>15.0000</AppVersion>
  <Pages>7</Pages>
  <Words>1762</Words>
  <Characters>12283</Characters>
  <CharactersWithSpaces>13701</CharactersWithSpaces>
  <Paragraphs>333</Paragraphs>
  <Company>Aon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2026-07-30T08:05:00Z</dcterms:created>
  <dc:creator>Enrika.Beivyde@vmu.lt</dc:creator>
  <dc:description/>
  <dc:language>lt-LT</dc:language>
  <cp:lastModifiedBy/>
  <cp:lastPrinted>2021-06-10T11:00:00Z</cp:lastPrinted>
  <dcterms:modified xsi:type="dcterms:W3CDTF">2026-07-30T13:39:26Z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onClassification">
    <vt:lpwstr>ADC_class_200</vt:lpwstr>
  </property>
  <property fmtid="{D5CDD505-2E9C-101B-9397-08002B2CF9AE}" pid="3" name="ContentTypeId">
    <vt:lpwstr>0x0101008BC2D89C4D50564091DF21CF99B75348</vt:lpwstr>
  </property>
  <property fmtid="{D5CDD505-2E9C-101B-9397-08002B2CF9AE}" pid="4" name="HyperlinksChanged">
    <vt:bool>0</vt:bool>
  </property>
  <property fmtid="{D5CDD505-2E9C-101B-9397-08002B2CF9AE}" pid="5" name="LinksUpToDate">
    <vt:bool>0</vt:bool>
  </property>
  <property fmtid="{D5CDD505-2E9C-101B-9397-08002B2CF9AE}" pid="6" name="MSIP_Label_9043f10a-881e-4653-a55e-02ca2cc829dc_ActionId">
    <vt:lpwstr>64afe0af-2b29-4235-b780-48c357efca4d</vt:lpwstr>
  </property>
  <property fmtid="{D5CDD505-2E9C-101B-9397-08002B2CF9AE}" pid="7" name="MSIP_Label_9043f10a-881e-4653-a55e-02ca2cc829dc_ContentBits">
    <vt:lpwstr>0</vt:lpwstr>
  </property>
  <property fmtid="{D5CDD505-2E9C-101B-9397-08002B2CF9AE}" pid="8" name="MSIP_Label_9043f10a-881e-4653-a55e-02ca2cc829dc_Enabled">
    <vt:lpwstr>true</vt:lpwstr>
  </property>
  <property fmtid="{D5CDD505-2E9C-101B-9397-08002B2CF9AE}" pid="9" name="MSIP_Label_9043f10a-881e-4653-a55e-02ca2cc829dc_Method">
    <vt:lpwstr>Standard</vt:lpwstr>
  </property>
  <property fmtid="{D5CDD505-2E9C-101B-9397-08002B2CF9AE}" pid="10" name="MSIP_Label_9043f10a-881e-4653-a55e-02ca2cc829dc_Name">
    <vt:lpwstr>ADC_class_200</vt:lpwstr>
  </property>
  <property fmtid="{D5CDD505-2E9C-101B-9397-08002B2CF9AE}" pid="11" name="MSIP_Label_9043f10a-881e-4653-a55e-02ca2cc829dc_SetDate">
    <vt:lpwstr>2023-11-06T14:13:04Z</vt:lpwstr>
  </property>
  <property fmtid="{D5CDD505-2E9C-101B-9397-08002B2CF9AE}" pid="12" name="MSIP_Label_9043f10a-881e-4653-a55e-02ca2cc829dc_SiteId">
    <vt:lpwstr>94cfddbc-0627-494a-ad7a-29aea3aea832</vt:lpwstr>
  </property>
  <property fmtid="{D5CDD505-2E9C-101B-9397-08002B2CF9AE}" pid="13" name="ScaleCrop">
    <vt:bool>0</vt:bool>
  </property>
  <property fmtid="{D5CDD505-2E9C-101B-9397-08002B2CF9AE}" pid="14" name="ShareDoc">
    <vt:bool>0</vt:bool>
  </property>
  <property fmtid="{D5CDD505-2E9C-101B-9397-08002B2CF9AE}" pid="15" name="TitusGUID">
    <vt:lpwstr>42756426-7a89-489c-9d2f-d50b0387b476</vt:lpwstr>
  </property>
</Properties>
</file>